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D08" w14:textId="3EC16116" w:rsidR="00C47393" w:rsidRDefault="00740773">
      <w:pPr>
        <w:spacing w:after="0" w:line="259" w:lineRule="auto"/>
        <w:ind w:left="0" w:firstLine="0"/>
      </w:pPr>
      <w:r>
        <w:rPr>
          <w:b/>
          <w:sz w:val="56"/>
        </w:rPr>
        <w:t xml:space="preserve">UM System </w:t>
      </w:r>
      <w:r w:rsidR="00D115E8">
        <w:rPr>
          <w:b/>
          <w:sz w:val="56"/>
        </w:rPr>
        <w:t xml:space="preserve">AHJ </w:t>
      </w:r>
      <w:r>
        <w:rPr>
          <w:b/>
          <w:sz w:val="56"/>
        </w:rPr>
        <w:t xml:space="preserve">Code Determination </w:t>
      </w:r>
    </w:p>
    <w:p w14:paraId="580DBBB4" w14:textId="77777777" w:rsidR="00C47393" w:rsidRDefault="00740773">
      <w:pPr>
        <w:spacing w:after="105" w:line="259" w:lineRule="auto"/>
        <w:ind w:left="0" w:firstLine="0"/>
      </w:pPr>
      <w:r>
        <w:t xml:space="preserve"> </w:t>
      </w:r>
    </w:p>
    <w:p w14:paraId="21E6D364" w14:textId="6B426CB5" w:rsidR="00C47393" w:rsidRDefault="00740773">
      <w:pPr>
        <w:tabs>
          <w:tab w:val="center" w:pos="3724"/>
        </w:tabs>
        <w:ind w:left="-15" w:firstLine="0"/>
      </w:pPr>
      <w:r>
        <w:t xml:space="preserve">Code Determination Number:  </w:t>
      </w:r>
      <w:r w:rsidR="00C71822">
        <w:t xml:space="preserve">       </w:t>
      </w:r>
      <w:r w:rsidR="00E12887">
        <w:t>11</w:t>
      </w:r>
      <w:r>
        <w:t xml:space="preserve"> </w:t>
      </w:r>
    </w:p>
    <w:p w14:paraId="2F48657E" w14:textId="744F02A2" w:rsidR="00C47393" w:rsidRDefault="00740773">
      <w:pPr>
        <w:tabs>
          <w:tab w:val="center" w:pos="1440"/>
          <w:tab w:val="center" w:pos="2160"/>
          <w:tab w:val="center" w:pos="2881"/>
          <w:tab w:val="center" w:pos="4306"/>
        </w:tabs>
        <w:ind w:left="-15" w:firstLine="0"/>
      </w:pPr>
      <w:r>
        <w:t xml:space="preserve">Date:  </w:t>
      </w:r>
      <w:r w:rsidR="00B85308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85308">
        <w:t xml:space="preserve">                  </w:t>
      </w:r>
      <w:r w:rsidR="0000433D">
        <w:t xml:space="preserve">February </w:t>
      </w:r>
      <w:r w:rsidR="00C84D3B">
        <w:t>7,</w:t>
      </w:r>
      <w:r w:rsidR="00E12887">
        <w:t>2023</w:t>
      </w:r>
      <w:r>
        <w:t xml:space="preserve"> </w:t>
      </w:r>
    </w:p>
    <w:p w14:paraId="0D8C7597" w14:textId="33A21F00" w:rsidR="00EB533A" w:rsidRPr="00B85308" w:rsidRDefault="00EB533A">
      <w:pPr>
        <w:tabs>
          <w:tab w:val="center" w:pos="2160"/>
          <w:tab w:val="center" w:pos="2881"/>
          <w:tab w:val="center" w:pos="4061"/>
        </w:tabs>
        <w:ind w:left="-15" w:firstLine="0"/>
      </w:pPr>
      <w:r w:rsidRPr="00BB6DBE">
        <w:rPr>
          <w:sz w:val="24"/>
          <w:szCs w:val="24"/>
          <w:u w:val="single"/>
        </w:rPr>
        <w:t>Subject</w:t>
      </w:r>
      <w:r w:rsidRPr="00BB6DBE">
        <w:rPr>
          <w:sz w:val="24"/>
          <w:szCs w:val="24"/>
        </w:rPr>
        <w:t>:</w:t>
      </w:r>
      <w:r w:rsidRPr="00B85308">
        <w:t xml:space="preserve"> </w:t>
      </w:r>
      <w:r w:rsidRPr="00B85308">
        <w:tab/>
        <w:t xml:space="preserve"> </w:t>
      </w:r>
      <w:r w:rsidR="00B85308">
        <w:t xml:space="preserve">                                        </w:t>
      </w:r>
      <w:r w:rsidR="00106312" w:rsidRPr="00BB6DBE">
        <w:rPr>
          <w:sz w:val="24"/>
          <w:szCs w:val="24"/>
          <w:u w:val="single"/>
        </w:rPr>
        <w:t xml:space="preserve">Design considerations for using both </w:t>
      </w:r>
      <w:r w:rsidR="003D3FB3" w:rsidRPr="00BB6DBE">
        <w:rPr>
          <w:sz w:val="24"/>
          <w:szCs w:val="24"/>
          <w:u w:val="single"/>
        </w:rPr>
        <w:t>ADA Codes (2010 ADAAG, 2017 ICC A117.1)</w:t>
      </w:r>
      <w:r w:rsidR="00D115E8" w:rsidRPr="00D115E8">
        <w:t xml:space="preserve">                     </w:t>
      </w:r>
    </w:p>
    <w:p w14:paraId="46D2BDA9" w14:textId="77777777" w:rsidR="00B734CD" w:rsidRDefault="00740773">
      <w:pPr>
        <w:tabs>
          <w:tab w:val="center" w:pos="2160"/>
          <w:tab w:val="center" w:pos="2881"/>
          <w:tab w:val="center" w:pos="4061"/>
        </w:tabs>
        <w:ind w:left="-15" w:firstLine="0"/>
      </w:pPr>
      <w:r>
        <w:t xml:space="preserve">Code Edition:  </w:t>
      </w:r>
      <w:r>
        <w:tab/>
        <w:t xml:space="preserve"> </w:t>
      </w:r>
      <w:r>
        <w:tab/>
        <w:t xml:space="preserve"> </w:t>
      </w:r>
      <w:r w:rsidR="00373A8E">
        <w:tab/>
        <w:t xml:space="preserve">       </w:t>
      </w:r>
      <w:r w:rsidR="00200EC0">
        <w:t>2010 ADAAG</w:t>
      </w:r>
      <w:r w:rsidR="001922BE">
        <w:t xml:space="preserve"> (ADA Standards for Accessible Design)</w:t>
      </w:r>
    </w:p>
    <w:p w14:paraId="076A552A" w14:textId="443164C1" w:rsidR="00C47393" w:rsidRDefault="00B734CD">
      <w:pPr>
        <w:tabs>
          <w:tab w:val="center" w:pos="2160"/>
          <w:tab w:val="center" w:pos="2881"/>
          <w:tab w:val="center" w:pos="4061"/>
        </w:tabs>
        <w:ind w:left="-15" w:firstLine="0"/>
      </w:pPr>
      <w:r>
        <w:tab/>
      </w:r>
      <w:r>
        <w:tab/>
      </w:r>
      <w:r>
        <w:tab/>
        <w:t xml:space="preserve">    </w:t>
      </w:r>
      <w:r w:rsidR="00200EC0">
        <w:t xml:space="preserve"> </w:t>
      </w:r>
      <w:r w:rsidR="00BB6DBE">
        <w:t xml:space="preserve">   </w:t>
      </w:r>
      <w:r w:rsidR="00200EC0">
        <w:t>2017 ICC A117.1</w:t>
      </w:r>
      <w:r>
        <w:t xml:space="preserve"> (Accessible and Usable Buildings and Facilities)</w:t>
      </w:r>
      <w:r w:rsidR="00373A8E">
        <w:t xml:space="preserve"> </w:t>
      </w:r>
      <w:r w:rsidR="00740773">
        <w:t xml:space="preserve">  </w:t>
      </w:r>
    </w:p>
    <w:p w14:paraId="1551DD30" w14:textId="69E4791B" w:rsidR="00C47393" w:rsidRDefault="00740773">
      <w:pPr>
        <w:tabs>
          <w:tab w:val="center" w:pos="2160"/>
          <w:tab w:val="center" w:pos="2881"/>
          <w:tab w:val="center" w:pos="4513"/>
        </w:tabs>
        <w:ind w:left="-15" w:firstLine="0"/>
      </w:pPr>
      <w:r>
        <w:t>Code Section</w:t>
      </w:r>
      <w:r w:rsidR="00B85308">
        <w:t>(s)</w:t>
      </w:r>
      <w:r>
        <w:t xml:space="preserve">:  </w:t>
      </w:r>
      <w:r>
        <w:tab/>
        <w:t xml:space="preserve"> </w:t>
      </w:r>
      <w:r>
        <w:tab/>
        <w:t xml:space="preserve"> </w:t>
      </w:r>
      <w:r w:rsidR="0002602D">
        <w:t xml:space="preserve">       </w:t>
      </w:r>
      <w:r w:rsidR="00200EC0">
        <w:t xml:space="preserve">          All sections</w:t>
      </w:r>
      <w:r w:rsidR="0002602D">
        <w:t xml:space="preserve">             </w:t>
      </w:r>
    </w:p>
    <w:p w14:paraId="7F62D360" w14:textId="75A9133B" w:rsidR="00C47393" w:rsidRDefault="00C47393">
      <w:pPr>
        <w:spacing w:line="259" w:lineRule="auto"/>
        <w:ind w:left="0" w:firstLine="0"/>
      </w:pPr>
    </w:p>
    <w:p w14:paraId="0D540C2E" w14:textId="3332DCD5" w:rsidR="00C47393" w:rsidRDefault="00740773">
      <w:pPr>
        <w:spacing w:after="348" w:line="259" w:lineRule="auto"/>
        <w:ind w:left="-5"/>
        <w:rPr>
          <w:b/>
          <w:u w:val="single"/>
        </w:rPr>
      </w:pPr>
      <w:r w:rsidRPr="0069077B">
        <w:rPr>
          <w:b/>
          <w:u w:val="single"/>
        </w:rPr>
        <w:t>Question</w:t>
      </w:r>
      <w:r w:rsidR="0002602D" w:rsidRPr="0069077B">
        <w:rPr>
          <w:b/>
          <w:u w:val="single"/>
        </w:rPr>
        <w:t>s</w:t>
      </w:r>
      <w:r w:rsidRPr="0069077B">
        <w:rPr>
          <w:b/>
          <w:u w:val="single"/>
        </w:rPr>
        <w:t xml:space="preserve"> (from </w:t>
      </w:r>
      <w:r w:rsidR="00B92AB3">
        <w:rPr>
          <w:b/>
          <w:u w:val="single"/>
        </w:rPr>
        <w:t>Design Consultants</w:t>
      </w:r>
      <w:r w:rsidR="006A097B">
        <w:rPr>
          <w:b/>
          <w:u w:val="single"/>
        </w:rPr>
        <w:t>)</w:t>
      </w:r>
      <w:r w:rsidRPr="0069077B">
        <w:rPr>
          <w:b/>
          <w:u w:val="single"/>
        </w:rPr>
        <w:t xml:space="preserve">: </w:t>
      </w:r>
    </w:p>
    <w:p w14:paraId="5361C985" w14:textId="1A41C613" w:rsidR="00030DAF" w:rsidRDefault="00030DAF" w:rsidP="004F16D1">
      <w:pPr>
        <w:pStyle w:val="ListParagraph"/>
        <w:numPr>
          <w:ilvl w:val="0"/>
          <w:numId w:val="7"/>
        </w:numPr>
        <w:spacing w:after="0" w:line="259" w:lineRule="auto"/>
        <w:rPr>
          <w:b/>
        </w:rPr>
      </w:pPr>
      <w:r w:rsidRPr="005F22D9">
        <w:rPr>
          <w:b/>
        </w:rPr>
        <w:t>Since UM System has adopted ICC A117.1, are consultants still required to reference ADA</w:t>
      </w:r>
      <w:r w:rsidR="002055FC">
        <w:rPr>
          <w:b/>
        </w:rPr>
        <w:t>A</w:t>
      </w:r>
      <w:r w:rsidRPr="005F22D9">
        <w:rPr>
          <w:b/>
        </w:rPr>
        <w:t>G standards?</w:t>
      </w:r>
    </w:p>
    <w:p w14:paraId="685879ED" w14:textId="77777777" w:rsidR="004F16D1" w:rsidRPr="004F16D1" w:rsidRDefault="004F16D1" w:rsidP="004F16D1">
      <w:pPr>
        <w:spacing w:after="0" w:line="259" w:lineRule="auto"/>
        <w:rPr>
          <w:b/>
        </w:rPr>
      </w:pPr>
    </w:p>
    <w:p w14:paraId="697CD326" w14:textId="7F3270D5" w:rsidR="00030DAF" w:rsidRPr="005F22D9" w:rsidRDefault="00030DAF" w:rsidP="004F16D1">
      <w:pPr>
        <w:pStyle w:val="ListParagraph"/>
        <w:numPr>
          <w:ilvl w:val="0"/>
          <w:numId w:val="7"/>
        </w:numPr>
        <w:spacing w:after="0" w:line="259" w:lineRule="auto"/>
        <w:rPr>
          <w:b/>
        </w:rPr>
      </w:pPr>
      <w:r w:rsidRPr="005F22D9">
        <w:rPr>
          <w:b/>
        </w:rPr>
        <w:t>Is a</w:t>
      </w:r>
      <w:r w:rsidR="001736AB">
        <w:rPr>
          <w:b/>
        </w:rPr>
        <w:t>n</w:t>
      </w:r>
      <w:r w:rsidRPr="005F22D9">
        <w:rPr>
          <w:b/>
        </w:rPr>
        <w:t xml:space="preserve"> </w:t>
      </w:r>
      <w:r w:rsidR="001736AB">
        <w:rPr>
          <w:b/>
        </w:rPr>
        <w:t xml:space="preserve">ADAAG </w:t>
      </w:r>
      <w:r w:rsidRPr="005F22D9">
        <w:rPr>
          <w:b/>
        </w:rPr>
        <w:t>disproportionality analysis required when designing an alteration to an existing facility?</w:t>
      </w:r>
    </w:p>
    <w:p w14:paraId="171EB320" w14:textId="77777777" w:rsidR="0002602D" w:rsidRDefault="0002602D" w:rsidP="00030DAF">
      <w:pPr>
        <w:ind w:left="0" w:firstLine="0"/>
      </w:pPr>
    </w:p>
    <w:p w14:paraId="5603939D" w14:textId="77777777" w:rsidR="00C71822" w:rsidRDefault="00C71822" w:rsidP="00C71822">
      <w:pPr>
        <w:pStyle w:val="ListParagraph"/>
      </w:pPr>
    </w:p>
    <w:p w14:paraId="3BDF29DB" w14:textId="562362FF" w:rsidR="00200EC0" w:rsidRPr="004F16D1" w:rsidRDefault="00740773" w:rsidP="004F16D1">
      <w:pPr>
        <w:spacing w:after="348" w:line="259" w:lineRule="auto"/>
        <w:ind w:left="-5"/>
        <w:rPr>
          <w:b/>
          <w:u w:val="single"/>
        </w:rPr>
      </w:pPr>
      <w:r w:rsidRPr="0069077B">
        <w:rPr>
          <w:rFonts w:ascii="Calibri" w:eastAsia="Calibri" w:hAnsi="Calibri" w:cs="Calibri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254B88" wp14:editId="62CF8DBA">
                <wp:simplePos x="0" y="0"/>
                <wp:positionH relativeFrom="page">
                  <wp:posOffset>0</wp:posOffset>
                </wp:positionH>
                <wp:positionV relativeFrom="page">
                  <wp:posOffset>9593930</wp:posOffset>
                </wp:positionV>
                <wp:extent cx="7772400" cy="401941"/>
                <wp:effectExtent l="0" t="0" r="0" b="0"/>
                <wp:wrapTopAndBottom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01941"/>
                          <a:chOff x="0" y="0"/>
                          <a:chExt cx="7772400" cy="40194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081507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507" h="401941">
                                <a:moveTo>
                                  <a:pt x="0" y="0"/>
                                </a:moveTo>
                                <a:lnTo>
                                  <a:pt x="4081507" y="0"/>
                                </a:lnTo>
                                <a:lnTo>
                                  <a:pt x="3814110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3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48349" y="0"/>
                            <a:ext cx="3824051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051" h="401941">
                                <a:moveTo>
                                  <a:pt x="254216" y="0"/>
                                </a:moveTo>
                                <a:lnTo>
                                  <a:pt x="3824051" y="0"/>
                                </a:lnTo>
                                <a:lnTo>
                                  <a:pt x="3824051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25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BE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5800" y="2293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09F0" w14:textId="77777777" w:rsidR="00C47393" w:rsidRDefault="00740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54B88" id="Group 978" o:spid="_x0000_s1026" style="position:absolute;left:0;text-align:left;margin-left:0;margin-top:755.45pt;width:612pt;height:31.65pt;z-index:251658240;mso-position-horizontal-relative:page;mso-position-vertical-relative:page" coordsize="77724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">
                <v:shape id="Shape 7" o:spid="_x0000_s1027" style="position:absolute;width:40815;height:4019;visibility:visible;mso-wrap-style:square;v-text-anchor:top" coordsize="4081507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" path="m,l4081507,,3814110,401941,,401941,,xe" fillcolor="#ed3d31" stroked="f" strokeweight="0">
                  <v:stroke miterlimit="83231f" joinstyle="miter"/>
                  <v:path arrowok="t" textboxrect="0,0,4081507,401941"/>
                </v:shape>
                <v:shape id="Shape 9" o:spid="_x0000_s1028" style="position:absolute;left:39483;width:38241;height:4019;visibility:visible;mso-wrap-style:square;v-text-anchor:top" coordsize="3824051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" path="m254216,l3824051,r,401941l,401941,254216,xe" fillcolor="#88bec2" stroked="f" strokeweight="0">
                  <v:stroke miterlimit="83231f" joinstyle="miter"/>
                  <v:path arrowok="t" textboxrect="0,0,3824051,401941"/>
                </v:shape>
                <v:rect id="Rectangle 12" o:spid="_x0000_s1029" style="position:absolute;left:6858;top:22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F7D09F0" w14:textId="77777777" w:rsidR="00C47393" w:rsidRDefault="00740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69077B">
        <w:rPr>
          <w:b/>
          <w:u w:val="single"/>
        </w:rPr>
        <w:t>Answer (from UM System</w:t>
      </w:r>
      <w:r w:rsidR="0069077B" w:rsidRPr="0069077B">
        <w:rPr>
          <w:b/>
          <w:u w:val="single"/>
        </w:rPr>
        <w:t xml:space="preserve"> AHJ</w:t>
      </w:r>
      <w:r w:rsidRPr="0069077B">
        <w:rPr>
          <w:b/>
          <w:u w:val="single"/>
        </w:rPr>
        <w:t xml:space="preserve">): </w:t>
      </w:r>
    </w:p>
    <w:p w14:paraId="316BD62E" w14:textId="35697D52" w:rsidR="00030DAF" w:rsidRPr="005F22D9" w:rsidRDefault="00A14C1A" w:rsidP="009B3F49">
      <w:pPr>
        <w:pStyle w:val="ListParagraph"/>
        <w:numPr>
          <w:ilvl w:val="0"/>
          <w:numId w:val="8"/>
        </w:numPr>
        <w:spacing w:after="348" w:line="259" w:lineRule="auto"/>
        <w:rPr>
          <w:b/>
        </w:rPr>
      </w:pPr>
      <w:r w:rsidRPr="00200EC0">
        <w:rPr>
          <w:bCs/>
        </w:rPr>
        <w:t xml:space="preserve"> </w:t>
      </w:r>
      <w:r w:rsidR="00030DAF" w:rsidRPr="005F22D9">
        <w:rPr>
          <w:b/>
        </w:rPr>
        <w:t>Since UM System has adopted ICC A117.1, are consultants still required to reference ADA</w:t>
      </w:r>
      <w:r w:rsidR="00D8022B">
        <w:rPr>
          <w:b/>
        </w:rPr>
        <w:t>A</w:t>
      </w:r>
      <w:r w:rsidR="00030DAF" w:rsidRPr="005F22D9">
        <w:rPr>
          <w:b/>
        </w:rPr>
        <w:t>G standards?</w:t>
      </w:r>
    </w:p>
    <w:p w14:paraId="4879A2A4" w14:textId="785A5D68" w:rsidR="0069001B" w:rsidRDefault="0069001B" w:rsidP="009B3F49">
      <w:pPr>
        <w:spacing w:after="348" w:line="259" w:lineRule="auto"/>
        <w:rPr>
          <w:bCs/>
        </w:rPr>
      </w:pPr>
      <w:r>
        <w:rPr>
          <w:bCs/>
        </w:rPr>
        <w:t>Yes, consultants are required to comply with both the ICC standards and the ADA</w:t>
      </w:r>
      <w:r w:rsidR="00086F77">
        <w:rPr>
          <w:bCs/>
        </w:rPr>
        <w:t xml:space="preserve"> Standards for Accessible Design. The ADA is a federal law</w:t>
      </w:r>
      <w:r w:rsidR="00897264">
        <w:rPr>
          <w:bCs/>
        </w:rPr>
        <w:t xml:space="preserve">, </w:t>
      </w:r>
      <w:r w:rsidR="00286172">
        <w:rPr>
          <w:bCs/>
        </w:rPr>
        <w:t xml:space="preserve">setting </w:t>
      </w:r>
      <w:r w:rsidR="0061549A">
        <w:rPr>
          <w:bCs/>
        </w:rPr>
        <w:t>minimum</w:t>
      </w:r>
      <w:r w:rsidR="00286172">
        <w:rPr>
          <w:bCs/>
        </w:rPr>
        <w:t xml:space="preserve"> requirements for accessib</w:t>
      </w:r>
      <w:r w:rsidR="0061549A">
        <w:rPr>
          <w:bCs/>
        </w:rPr>
        <w:t xml:space="preserve">le design, </w:t>
      </w:r>
      <w:r w:rsidR="00897264">
        <w:rPr>
          <w:bCs/>
        </w:rPr>
        <w:t xml:space="preserve">and those federal guidelines still apply. </w:t>
      </w:r>
      <w:r w:rsidR="005128B6">
        <w:rPr>
          <w:bCs/>
        </w:rPr>
        <w:t xml:space="preserve"> </w:t>
      </w:r>
      <w:r w:rsidR="005A1786">
        <w:rPr>
          <w:bCs/>
        </w:rPr>
        <w:t xml:space="preserve">In </w:t>
      </w:r>
      <w:r w:rsidR="00511EC4">
        <w:rPr>
          <w:bCs/>
        </w:rPr>
        <w:t xml:space="preserve">navigating the use of both codes, our design intention is </w:t>
      </w:r>
      <w:r w:rsidR="00523DA8">
        <w:rPr>
          <w:bCs/>
        </w:rPr>
        <w:t>that</w:t>
      </w:r>
      <w:r w:rsidR="00DB3A62">
        <w:rPr>
          <w:bCs/>
        </w:rPr>
        <w:t xml:space="preserve">, </w:t>
      </w:r>
      <w:r w:rsidR="00523DA8">
        <w:rPr>
          <w:bCs/>
        </w:rPr>
        <w:t>whe</w:t>
      </w:r>
      <w:r w:rsidR="00DB3A62">
        <w:rPr>
          <w:bCs/>
        </w:rPr>
        <w:t>n</w:t>
      </w:r>
      <w:r w:rsidR="00523DA8">
        <w:rPr>
          <w:bCs/>
        </w:rPr>
        <w:t xml:space="preserve"> </w:t>
      </w:r>
      <w:r w:rsidR="00EC23FC">
        <w:rPr>
          <w:bCs/>
        </w:rPr>
        <w:t>the ICC and ADA</w:t>
      </w:r>
      <w:r w:rsidR="000F53E1">
        <w:rPr>
          <w:bCs/>
        </w:rPr>
        <w:t>A</w:t>
      </w:r>
      <w:r w:rsidR="00EC23FC">
        <w:rPr>
          <w:bCs/>
        </w:rPr>
        <w:t xml:space="preserve">G </w:t>
      </w:r>
      <w:r w:rsidR="00D8022B">
        <w:rPr>
          <w:bCs/>
        </w:rPr>
        <w:t xml:space="preserve">requirements </w:t>
      </w:r>
      <w:r w:rsidR="00EC23FC">
        <w:rPr>
          <w:bCs/>
        </w:rPr>
        <w:t>vary</w:t>
      </w:r>
      <w:r w:rsidR="00DB3A62">
        <w:rPr>
          <w:bCs/>
        </w:rPr>
        <w:t xml:space="preserve">, </w:t>
      </w:r>
      <w:r w:rsidR="000F53E1">
        <w:rPr>
          <w:bCs/>
        </w:rPr>
        <w:t>consultants should choose the</w:t>
      </w:r>
      <w:r w:rsidR="001A0B5B">
        <w:rPr>
          <w:bCs/>
        </w:rPr>
        <w:t xml:space="preserve"> more restrictive</w:t>
      </w:r>
      <w:r w:rsidR="000F53E1">
        <w:rPr>
          <w:bCs/>
        </w:rPr>
        <w:t xml:space="preserve"> </w:t>
      </w:r>
      <w:r w:rsidR="005D3A40">
        <w:rPr>
          <w:bCs/>
        </w:rPr>
        <w:t>version</w:t>
      </w:r>
      <w:r w:rsidR="000F53E1">
        <w:rPr>
          <w:bCs/>
        </w:rPr>
        <w:t xml:space="preserve"> that </w:t>
      </w:r>
      <w:r w:rsidR="001719C7">
        <w:rPr>
          <w:bCs/>
        </w:rPr>
        <w:t>provides the highest standard of acc</w:t>
      </w:r>
      <w:r w:rsidR="00286172">
        <w:rPr>
          <w:bCs/>
        </w:rPr>
        <w:t>essibility.</w:t>
      </w:r>
      <w:r w:rsidR="0061549A">
        <w:rPr>
          <w:bCs/>
        </w:rPr>
        <w:t xml:space="preserve"> </w:t>
      </w:r>
    </w:p>
    <w:p w14:paraId="38CEB06A" w14:textId="14B8F4EE" w:rsidR="00017EDD" w:rsidRPr="00CD04E7" w:rsidRDefault="00017EDD" w:rsidP="00017EDD">
      <w:pPr>
        <w:spacing w:after="348" w:line="259" w:lineRule="auto"/>
        <w:ind w:left="0" w:firstLine="0"/>
        <w:rPr>
          <w:bCs/>
        </w:rPr>
      </w:pPr>
      <w:r>
        <w:rPr>
          <w:bCs/>
        </w:rPr>
        <w:t>Moreover, consultants should note that i</w:t>
      </w:r>
      <w:r w:rsidRPr="00CD04E7">
        <w:rPr>
          <w:bCs/>
        </w:rPr>
        <w:t>ncreasing the accessibility of facilities is a major priority for UM System, and we view every renovation and new construction project as an opportunity to improve the accessibility of our campuses</w:t>
      </w:r>
      <w:r>
        <w:rPr>
          <w:bCs/>
        </w:rPr>
        <w:t xml:space="preserve">. Because of this, considering potential accessibility improvements should be an essential agenda item </w:t>
      </w:r>
      <w:r w:rsidR="009237F5">
        <w:rPr>
          <w:bCs/>
        </w:rPr>
        <w:t>for</w:t>
      </w:r>
      <w:r w:rsidR="00C84D3B">
        <w:rPr>
          <w:bCs/>
        </w:rPr>
        <w:t xml:space="preserve"> design</w:t>
      </w:r>
      <w:r>
        <w:rPr>
          <w:bCs/>
        </w:rPr>
        <w:t xml:space="preserve"> </w:t>
      </w:r>
      <w:r w:rsidR="0061549A">
        <w:rPr>
          <w:bCs/>
        </w:rPr>
        <w:t xml:space="preserve">kickoff and </w:t>
      </w:r>
      <w:r w:rsidR="00804BD5">
        <w:rPr>
          <w:bCs/>
        </w:rPr>
        <w:t xml:space="preserve">later </w:t>
      </w:r>
      <w:r>
        <w:rPr>
          <w:bCs/>
        </w:rPr>
        <w:t>planning meetings, alongside other key issues such as life safety, regardless of whether the renovation is large or small.</w:t>
      </w:r>
    </w:p>
    <w:p w14:paraId="0095ECAD" w14:textId="77777777" w:rsidR="009B3F49" w:rsidRPr="009B3F49" w:rsidRDefault="009B3F49" w:rsidP="009B3F49">
      <w:pPr>
        <w:spacing w:after="348" w:line="259" w:lineRule="auto"/>
        <w:rPr>
          <w:bCs/>
        </w:rPr>
      </w:pPr>
    </w:p>
    <w:p w14:paraId="76ABF440" w14:textId="7E6A7382" w:rsidR="009B3F49" w:rsidRPr="005F22D9" w:rsidRDefault="009B3F49" w:rsidP="009B3F49">
      <w:pPr>
        <w:pStyle w:val="ListParagraph"/>
        <w:numPr>
          <w:ilvl w:val="0"/>
          <w:numId w:val="8"/>
        </w:numPr>
        <w:spacing w:after="348" w:line="259" w:lineRule="auto"/>
        <w:rPr>
          <w:b/>
        </w:rPr>
      </w:pPr>
      <w:r w:rsidRPr="005F22D9">
        <w:rPr>
          <w:b/>
        </w:rPr>
        <w:t xml:space="preserve">Is a disproportionality analysis </w:t>
      </w:r>
      <w:r w:rsidR="00D8022B">
        <w:rPr>
          <w:b/>
        </w:rPr>
        <w:t xml:space="preserve">under ADAAG </w:t>
      </w:r>
      <w:r w:rsidRPr="005F22D9">
        <w:rPr>
          <w:b/>
        </w:rPr>
        <w:t>required when designing an alteration to an existing facility?</w:t>
      </w:r>
    </w:p>
    <w:p w14:paraId="04B77DE2" w14:textId="77777777" w:rsidR="00CD04E7" w:rsidRDefault="00CD04E7" w:rsidP="00CD04E7">
      <w:pPr>
        <w:pStyle w:val="ListParagraph"/>
        <w:spacing w:after="348" w:line="259" w:lineRule="auto"/>
        <w:ind w:left="345" w:firstLine="0"/>
        <w:rPr>
          <w:bCs/>
        </w:rPr>
      </w:pPr>
    </w:p>
    <w:p w14:paraId="48429181" w14:textId="77777777" w:rsidR="003D663F" w:rsidRDefault="00CD04E7" w:rsidP="00CD04E7">
      <w:pPr>
        <w:spacing w:after="348" w:line="259" w:lineRule="auto"/>
        <w:ind w:left="0" w:firstLine="0"/>
        <w:rPr>
          <w:bCs/>
        </w:rPr>
      </w:pPr>
      <w:r w:rsidRPr="00CD04E7">
        <w:rPr>
          <w:bCs/>
        </w:rPr>
        <w:t>Yes</w:t>
      </w:r>
      <w:r>
        <w:rPr>
          <w:bCs/>
        </w:rPr>
        <w:t xml:space="preserve">, </w:t>
      </w:r>
      <w:r w:rsidR="006F3C8E">
        <w:rPr>
          <w:bCs/>
        </w:rPr>
        <w:t xml:space="preserve">consultants should plan to complete a disproportionality analysis </w:t>
      </w:r>
      <w:r w:rsidR="003D663F">
        <w:rPr>
          <w:bCs/>
        </w:rPr>
        <w:t>any time alterations are made to primary function areas</w:t>
      </w:r>
      <w:r w:rsidRPr="00CD04E7">
        <w:rPr>
          <w:bCs/>
        </w:rPr>
        <w:t xml:space="preserve">. </w:t>
      </w:r>
    </w:p>
    <w:p w14:paraId="2EF34C62" w14:textId="77777777" w:rsidR="001736AB" w:rsidRDefault="00897264" w:rsidP="00456539">
      <w:pPr>
        <w:spacing w:after="348" w:line="259" w:lineRule="auto"/>
        <w:rPr>
          <w:bCs/>
        </w:rPr>
      </w:pPr>
      <w:r>
        <w:rPr>
          <w:bCs/>
        </w:rPr>
        <w:t xml:space="preserve">In </w:t>
      </w:r>
      <w:r w:rsidR="00484985">
        <w:rPr>
          <w:bCs/>
        </w:rPr>
        <w:t>making decisions related to disproportionality</w:t>
      </w:r>
      <w:r>
        <w:rPr>
          <w:bCs/>
        </w:rPr>
        <w:t xml:space="preserve">, each project will </w:t>
      </w:r>
      <w:r w:rsidR="00C449FB">
        <w:rPr>
          <w:bCs/>
        </w:rPr>
        <w:t xml:space="preserve">require a unique analysis based on the current accessibility of the </w:t>
      </w:r>
      <w:r w:rsidR="00993C35">
        <w:rPr>
          <w:bCs/>
        </w:rPr>
        <w:t xml:space="preserve">existing </w:t>
      </w:r>
      <w:r w:rsidR="00C449FB">
        <w:rPr>
          <w:bCs/>
        </w:rPr>
        <w:t xml:space="preserve">building being renovated. </w:t>
      </w:r>
      <w:r w:rsidR="00083B4E">
        <w:rPr>
          <w:bCs/>
        </w:rPr>
        <w:t xml:space="preserve">If the existing building complies fully with 2010 ADA Standards, then </w:t>
      </w:r>
      <w:r w:rsidR="009D18B0">
        <w:rPr>
          <w:bCs/>
        </w:rPr>
        <w:t xml:space="preserve">planning for </w:t>
      </w:r>
      <w:r w:rsidR="00A65BD7">
        <w:rPr>
          <w:bCs/>
        </w:rPr>
        <w:t xml:space="preserve">additional </w:t>
      </w:r>
      <w:r w:rsidR="009D18B0">
        <w:rPr>
          <w:bCs/>
        </w:rPr>
        <w:t>ADA improvements may be unnecessary</w:t>
      </w:r>
      <w:r w:rsidR="00A964E5">
        <w:rPr>
          <w:bCs/>
        </w:rPr>
        <w:t>, and need not be factored into the budget aside from ensuring that any new</w:t>
      </w:r>
      <w:r w:rsidR="00993C35">
        <w:rPr>
          <w:bCs/>
        </w:rPr>
        <w:t>ly added</w:t>
      </w:r>
      <w:r w:rsidR="00A964E5">
        <w:rPr>
          <w:bCs/>
        </w:rPr>
        <w:t xml:space="preserve"> features </w:t>
      </w:r>
      <w:r w:rsidR="00993C35">
        <w:rPr>
          <w:bCs/>
        </w:rPr>
        <w:t>also comply with ADAAG</w:t>
      </w:r>
      <w:r w:rsidR="009D18B0">
        <w:rPr>
          <w:bCs/>
        </w:rPr>
        <w:t>.</w:t>
      </w:r>
      <w:r w:rsidR="009B4E53">
        <w:rPr>
          <w:bCs/>
        </w:rPr>
        <w:t xml:space="preserve"> </w:t>
      </w:r>
    </w:p>
    <w:p w14:paraId="5DBC05E0" w14:textId="7612166D" w:rsidR="00456539" w:rsidRDefault="009B4E53" w:rsidP="00456539">
      <w:pPr>
        <w:spacing w:after="348" w:line="259" w:lineRule="auto"/>
        <w:rPr>
          <w:bCs/>
        </w:rPr>
      </w:pPr>
      <w:r>
        <w:rPr>
          <w:bCs/>
        </w:rPr>
        <w:t xml:space="preserve">If the </w:t>
      </w:r>
      <w:r w:rsidR="00DE0749">
        <w:rPr>
          <w:bCs/>
        </w:rPr>
        <w:t xml:space="preserve">existing </w:t>
      </w:r>
      <w:r>
        <w:rPr>
          <w:bCs/>
        </w:rPr>
        <w:t>building has substantial accessibility issues</w:t>
      </w:r>
      <w:r w:rsidR="0093652E">
        <w:rPr>
          <w:bCs/>
        </w:rPr>
        <w:t xml:space="preserve">, </w:t>
      </w:r>
      <w:r w:rsidR="00A964E5">
        <w:rPr>
          <w:bCs/>
        </w:rPr>
        <w:t xml:space="preserve">however, </w:t>
      </w:r>
      <w:r w:rsidR="004A74B3">
        <w:rPr>
          <w:bCs/>
        </w:rPr>
        <w:t xml:space="preserve">the disproportionality provision of the ADA may require that up to </w:t>
      </w:r>
      <w:r w:rsidR="00AF41B9">
        <w:rPr>
          <w:bCs/>
        </w:rPr>
        <w:t xml:space="preserve">a maximum of </w:t>
      </w:r>
      <w:r w:rsidR="004A74B3">
        <w:rPr>
          <w:bCs/>
        </w:rPr>
        <w:t>20% of the final budget of the project</w:t>
      </w:r>
      <w:r w:rsidR="00AF41B9">
        <w:rPr>
          <w:bCs/>
        </w:rPr>
        <w:t xml:space="preserve"> be dedicated to </w:t>
      </w:r>
      <w:r w:rsidR="00852D05">
        <w:rPr>
          <w:bCs/>
        </w:rPr>
        <w:t xml:space="preserve">making </w:t>
      </w:r>
      <w:r w:rsidR="00AF41B9">
        <w:rPr>
          <w:bCs/>
        </w:rPr>
        <w:t>accessibility improvements</w:t>
      </w:r>
      <w:r w:rsidR="00570BE1">
        <w:rPr>
          <w:bCs/>
        </w:rPr>
        <w:t xml:space="preserve"> in order to comply with the 2010 ADA Standards.</w:t>
      </w:r>
      <w:r w:rsidR="00A964E5">
        <w:rPr>
          <w:bCs/>
        </w:rPr>
        <w:t xml:space="preserve"> </w:t>
      </w:r>
      <w:r w:rsidR="00A35B8F">
        <w:rPr>
          <w:bCs/>
        </w:rPr>
        <w:t>Thus, completing this analysis</w:t>
      </w:r>
      <w:r w:rsidR="009228F0">
        <w:rPr>
          <w:bCs/>
        </w:rPr>
        <w:t xml:space="preserve"> early in the planning process</w:t>
      </w:r>
      <w:r w:rsidR="008B6466">
        <w:rPr>
          <w:bCs/>
        </w:rPr>
        <w:t xml:space="preserve"> for a project</w:t>
      </w:r>
      <w:r w:rsidR="009228F0">
        <w:rPr>
          <w:bCs/>
        </w:rPr>
        <w:t xml:space="preserve"> </w:t>
      </w:r>
      <w:r w:rsidR="008A1756">
        <w:rPr>
          <w:bCs/>
        </w:rPr>
        <w:t>is key.</w:t>
      </w:r>
    </w:p>
    <w:p w14:paraId="2FE6DB77" w14:textId="27F30034" w:rsidR="00346764" w:rsidRDefault="00346764" w:rsidP="00456539">
      <w:pPr>
        <w:spacing w:after="348" w:line="259" w:lineRule="auto"/>
        <w:rPr>
          <w:bCs/>
        </w:rPr>
      </w:pPr>
      <w:r>
        <w:rPr>
          <w:bCs/>
        </w:rPr>
        <w:t xml:space="preserve">If the facility being </w:t>
      </w:r>
      <w:r w:rsidR="008B6466">
        <w:rPr>
          <w:bCs/>
        </w:rPr>
        <w:t>altered</w:t>
      </w:r>
      <w:r>
        <w:rPr>
          <w:bCs/>
        </w:rPr>
        <w:t xml:space="preserve"> has not been </w:t>
      </w:r>
      <w:r w:rsidR="008B6466">
        <w:rPr>
          <w:bCs/>
        </w:rPr>
        <w:t xml:space="preserve">substantially </w:t>
      </w:r>
      <w:r>
        <w:rPr>
          <w:bCs/>
        </w:rPr>
        <w:t>renovated since 199</w:t>
      </w:r>
      <w:r w:rsidR="007A6E1C">
        <w:rPr>
          <w:bCs/>
        </w:rPr>
        <w:t>2</w:t>
      </w:r>
      <w:r>
        <w:rPr>
          <w:bCs/>
        </w:rPr>
        <w:t>, then it is</w:t>
      </w:r>
      <w:r w:rsidR="0041102B">
        <w:rPr>
          <w:bCs/>
        </w:rPr>
        <w:t xml:space="preserve"> very</w:t>
      </w:r>
      <w:r>
        <w:rPr>
          <w:bCs/>
        </w:rPr>
        <w:t xml:space="preserve"> likely that </w:t>
      </w:r>
      <w:proofErr w:type="gramStart"/>
      <w:r w:rsidR="008B6466">
        <w:rPr>
          <w:bCs/>
        </w:rPr>
        <w:t>a large number of</w:t>
      </w:r>
      <w:proofErr w:type="gramEnd"/>
      <w:r w:rsidR="008B6466">
        <w:rPr>
          <w:bCs/>
        </w:rPr>
        <w:t xml:space="preserve"> </w:t>
      </w:r>
      <w:r>
        <w:rPr>
          <w:bCs/>
        </w:rPr>
        <w:t>ADA improvements will be necessary</w:t>
      </w:r>
      <w:r w:rsidR="0070540F">
        <w:rPr>
          <w:bCs/>
        </w:rPr>
        <w:t>, and</w:t>
      </w:r>
      <w:r w:rsidR="00361EE9">
        <w:rPr>
          <w:bCs/>
        </w:rPr>
        <w:t xml:space="preserve"> ADA should be </w:t>
      </w:r>
      <w:r w:rsidR="0068037C">
        <w:rPr>
          <w:bCs/>
        </w:rPr>
        <w:t xml:space="preserve">given </w:t>
      </w:r>
      <w:r w:rsidR="00281DA5">
        <w:rPr>
          <w:bCs/>
        </w:rPr>
        <w:t>particular</w:t>
      </w:r>
      <w:r w:rsidR="0068037C">
        <w:rPr>
          <w:bCs/>
        </w:rPr>
        <w:t xml:space="preserve"> attention </w:t>
      </w:r>
      <w:r w:rsidR="00361EE9">
        <w:rPr>
          <w:bCs/>
        </w:rPr>
        <w:t>in the renovation</w:t>
      </w:r>
      <w:r>
        <w:rPr>
          <w:bCs/>
        </w:rPr>
        <w:t xml:space="preserve">. If the facility </w:t>
      </w:r>
      <w:r w:rsidR="00616D7E">
        <w:rPr>
          <w:bCs/>
        </w:rPr>
        <w:t>was renovated after 199</w:t>
      </w:r>
      <w:r w:rsidR="007A6E1C">
        <w:rPr>
          <w:bCs/>
        </w:rPr>
        <w:t>2</w:t>
      </w:r>
      <w:r w:rsidR="00616D7E">
        <w:rPr>
          <w:bCs/>
        </w:rPr>
        <w:t xml:space="preserve"> but before </w:t>
      </w:r>
      <w:r>
        <w:rPr>
          <w:bCs/>
        </w:rPr>
        <w:t>201</w:t>
      </w:r>
      <w:r w:rsidR="0077402D">
        <w:rPr>
          <w:bCs/>
        </w:rPr>
        <w:t>2</w:t>
      </w:r>
      <w:r>
        <w:rPr>
          <w:bCs/>
        </w:rPr>
        <w:t xml:space="preserve">, then </w:t>
      </w:r>
      <w:r w:rsidR="0077402D">
        <w:rPr>
          <w:bCs/>
        </w:rPr>
        <w:t xml:space="preserve">it </w:t>
      </w:r>
      <w:r w:rsidR="007A6E1C">
        <w:rPr>
          <w:bCs/>
        </w:rPr>
        <w:t>will</w:t>
      </w:r>
      <w:r w:rsidR="00DE0749">
        <w:rPr>
          <w:bCs/>
        </w:rPr>
        <w:t xml:space="preserve"> likely</w:t>
      </w:r>
      <w:r w:rsidR="007A6E1C">
        <w:rPr>
          <w:bCs/>
        </w:rPr>
        <w:t xml:space="preserve"> </w:t>
      </w:r>
      <w:r w:rsidR="00CF3D3F">
        <w:rPr>
          <w:bCs/>
        </w:rPr>
        <w:t xml:space="preserve">need improvements </w:t>
      </w:r>
      <w:r w:rsidR="00313F7B">
        <w:rPr>
          <w:bCs/>
        </w:rPr>
        <w:t>that reflect the</w:t>
      </w:r>
      <w:r w:rsidR="00622868">
        <w:rPr>
          <w:bCs/>
        </w:rPr>
        <w:t xml:space="preserve"> requirements of the</w:t>
      </w:r>
      <w:r w:rsidR="00313F7B">
        <w:rPr>
          <w:bCs/>
        </w:rPr>
        <w:t xml:space="preserve"> updated 2010 ADAAG standards, such as increasing the number of accessible entrances.</w:t>
      </w:r>
    </w:p>
    <w:p w14:paraId="72C117BB" w14:textId="7AFF5A42" w:rsidR="00CC7E53" w:rsidRDefault="00CC7E53" w:rsidP="00456539">
      <w:pPr>
        <w:spacing w:after="348" w:line="259" w:lineRule="auto"/>
        <w:rPr>
          <w:bCs/>
        </w:rPr>
      </w:pPr>
      <w:r>
        <w:rPr>
          <w:bCs/>
        </w:rPr>
        <w:t xml:space="preserve">In </w:t>
      </w:r>
      <w:r w:rsidR="005C66EC">
        <w:rPr>
          <w:bCs/>
        </w:rPr>
        <w:t xml:space="preserve">prioritizing ADA </w:t>
      </w:r>
      <w:r w:rsidR="00BE2B50">
        <w:rPr>
          <w:bCs/>
        </w:rPr>
        <w:t xml:space="preserve">improvements, </w:t>
      </w:r>
      <w:proofErr w:type="gramStart"/>
      <w:r w:rsidR="000C7077">
        <w:rPr>
          <w:bCs/>
        </w:rPr>
        <w:t xml:space="preserve">first </w:t>
      </w:r>
      <w:r w:rsidR="00BE2B50">
        <w:rPr>
          <w:bCs/>
        </w:rPr>
        <w:t>priority</w:t>
      </w:r>
      <w:proofErr w:type="gramEnd"/>
      <w:r w:rsidR="00BE2B50">
        <w:rPr>
          <w:bCs/>
        </w:rPr>
        <w:t xml:space="preserve"> should be given</w:t>
      </w:r>
      <w:r w:rsidR="0026758F">
        <w:rPr>
          <w:bCs/>
        </w:rPr>
        <w:t xml:space="preserve"> to those elements that will provide the greatest </w:t>
      </w:r>
      <w:r w:rsidR="009C2379">
        <w:rPr>
          <w:bCs/>
        </w:rPr>
        <w:t>improvement in</w:t>
      </w:r>
      <w:r w:rsidR="0026758F">
        <w:rPr>
          <w:bCs/>
        </w:rPr>
        <w:t xml:space="preserve"> </w:t>
      </w:r>
      <w:r w:rsidR="004F16D1">
        <w:rPr>
          <w:bCs/>
        </w:rPr>
        <w:t>accessibility</w:t>
      </w:r>
      <w:r w:rsidR="0026758F">
        <w:rPr>
          <w:bCs/>
        </w:rPr>
        <w:t>,</w:t>
      </w:r>
      <w:r w:rsidR="00BE2B50">
        <w:rPr>
          <w:bCs/>
        </w:rPr>
        <w:t xml:space="preserve"> </w:t>
      </w:r>
      <w:r w:rsidR="0026758F">
        <w:rPr>
          <w:bCs/>
        </w:rPr>
        <w:t>in the following order</w:t>
      </w:r>
      <w:r w:rsidR="00BE2B50">
        <w:rPr>
          <w:bCs/>
        </w:rPr>
        <w:t>:</w:t>
      </w:r>
    </w:p>
    <w:p w14:paraId="3BAEE1D7" w14:textId="36EDD8D7" w:rsidR="00BE2B50" w:rsidRDefault="00BE2B50" w:rsidP="00BE2B50">
      <w:pPr>
        <w:pStyle w:val="ListParagraph"/>
        <w:numPr>
          <w:ilvl w:val="0"/>
          <w:numId w:val="9"/>
        </w:numPr>
        <w:spacing w:after="348" w:line="259" w:lineRule="auto"/>
        <w:rPr>
          <w:bCs/>
        </w:rPr>
      </w:pPr>
      <w:r>
        <w:rPr>
          <w:bCs/>
        </w:rPr>
        <w:t>Accessible entrances</w:t>
      </w:r>
    </w:p>
    <w:p w14:paraId="5DA485BF" w14:textId="34CFDDB6" w:rsidR="00BE2B50" w:rsidRDefault="00BE2B50" w:rsidP="00BE2B50">
      <w:pPr>
        <w:pStyle w:val="ListParagraph"/>
        <w:numPr>
          <w:ilvl w:val="0"/>
          <w:numId w:val="9"/>
        </w:numPr>
        <w:spacing w:after="348" w:line="259" w:lineRule="auto"/>
        <w:rPr>
          <w:bCs/>
        </w:rPr>
      </w:pPr>
      <w:r>
        <w:rPr>
          <w:bCs/>
        </w:rPr>
        <w:t>Accessible path of travel to the altered areas</w:t>
      </w:r>
    </w:p>
    <w:p w14:paraId="19158DC6" w14:textId="116BDB01" w:rsidR="00BE2B50" w:rsidRDefault="00BE2B50" w:rsidP="00BE2B50">
      <w:pPr>
        <w:pStyle w:val="ListParagraph"/>
        <w:numPr>
          <w:ilvl w:val="0"/>
          <w:numId w:val="9"/>
        </w:numPr>
        <w:spacing w:after="348" w:line="259" w:lineRule="auto"/>
        <w:rPr>
          <w:bCs/>
        </w:rPr>
      </w:pPr>
      <w:r>
        <w:rPr>
          <w:bCs/>
        </w:rPr>
        <w:t>Accessible restrooms</w:t>
      </w:r>
      <w:r w:rsidR="001565AC">
        <w:rPr>
          <w:bCs/>
        </w:rPr>
        <w:t>; and</w:t>
      </w:r>
    </w:p>
    <w:p w14:paraId="280A1D30" w14:textId="2EFC7A17" w:rsidR="00BE2B50" w:rsidRPr="00BE2B50" w:rsidRDefault="001565AC" w:rsidP="00BE2B50">
      <w:pPr>
        <w:pStyle w:val="ListParagraph"/>
        <w:numPr>
          <w:ilvl w:val="0"/>
          <w:numId w:val="9"/>
        </w:numPr>
        <w:spacing w:after="348" w:line="259" w:lineRule="auto"/>
        <w:rPr>
          <w:bCs/>
        </w:rPr>
      </w:pPr>
      <w:r>
        <w:rPr>
          <w:bCs/>
        </w:rPr>
        <w:t>Other accessibility features, such as drinking fountains and accessible parking.</w:t>
      </w:r>
    </w:p>
    <w:p w14:paraId="1A5C788A" w14:textId="77777777" w:rsidR="00313F7B" w:rsidRDefault="00313F7B" w:rsidP="00456539">
      <w:pPr>
        <w:spacing w:after="348" w:line="259" w:lineRule="auto"/>
        <w:rPr>
          <w:bCs/>
        </w:rPr>
      </w:pPr>
    </w:p>
    <w:p w14:paraId="71A98A92" w14:textId="00D265D3" w:rsidR="00AC6E0F" w:rsidRDefault="00AC6E0F" w:rsidP="001565AC">
      <w:pPr>
        <w:spacing w:after="0" w:line="259" w:lineRule="auto"/>
        <w:ind w:left="0" w:firstLine="0"/>
      </w:pPr>
    </w:p>
    <w:sectPr w:rsidR="00AC6E0F" w:rsidSect="00883324">
      <w:pgSz w:w="15840" w:h="12240" w:orient="landscape"/>
      <w:pgMar w:top="1080" w:right="1440" w:bottom="112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C9C"/>
    <w:multiLevelType w:val="hybridMultilevel"/>
    <w:tmpl w:val="DA6CDC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A541F"/>
    <w:multiLevelType w:val="hybridMultilevel"/>
    <w:tmpl w:val="37FC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47F71"/>
    <w:multiLevelType w:val="hybridMultilevel"/>
    <w:tmpl w:val="3C3A06D0"/>
    <w:lvl w:ilvl="0" w:tplc="CCB822BE">
      <w:start w:val="1"/>
      <w:numFmt w:val="upperLetter"/>
      <w:lvlText w:val="%1&gt;"/>
      <w:lvlJc w:val="left"/>
      <w:pPr>
        <w:ind w:left="3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2434E83"/>
    <w:multiLevelType w:val="hybridMultilevel"/>
    <w:tmpl w:val="489AA936"/>
    <w:lvl w:ilvl="0" w:tplc="39083A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45284DA2"/>
    <w:multiLevelType w:val="hybridMultilevel"/>
    <w:tmpl w:val="EADA64D4"/>
    <w:lvl w:ilvl="0" w:tplc="974843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2F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2B9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09D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ED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0C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E72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C8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2F6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00370"/>
    <w:multiLevelType w:val="hybridMultilevel"/>
    <w:tmpl w:val="44387B20"/>
    <w:lvl w:ilvl="0" w:tplc="177C4BF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D3D"/>
    <w:multiLevelType w:val="hybridMultilevel"/>
    <w:tmpl w:val="50A059DA"/>
    <w:lvl w:ilvl="0" w:tplc="C4AA296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3A23BEE"/>
    <w:multiLevelType w:val="hybridMultilevel"/>
    <w:tmpl w:val="819A7766"/>
    <w:lvl w:ilvl="0" w:tplc="C324C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445D1"/>
    <w:multiLevelType w:val="hybridMultilevel"/>
    <w:tmpl w:val="CA86F6FC"/>
    <w:lvl w:ilvl="0" w:tplc="E65AB7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23415874">
    <w:abstractNumId w:val="4"/>
  </w:num>
  <w:num w:numId="2" w16cid:durableId="613943321">
    <w:abstractNumId w:val="8"/>
  </w:num>
  <w:num w:numId="3" w16cid:durableId="1973174314">
    <w:abstractNumId w:val="6"/>
  </w:num>
  <w:num w:numId="4" w16cid:durableId="1122267317">
    <w:abstractNumId w:val="0"/>
  </w:num>
  <w:num w:numId="5" w16cid:durableId="348529015">
    <w:abstractNumId w:val="2"/>
  </w:num>
  <w:num w:numId="6" w16cid:durableId="1479148031">
    <w:abstractNumId w:val="1"/>
  </w:num>
  <w:num w:numId="7" w16cid:durableId="986516963">
    <w:abstractNumId w:val="3"/>
  </w:num>
  <w:num w:numId="8" w16cid:durableId="1996177183">
    <w:abstractNumId w:val="5"/>
  </w:num>
  <w:num w:numId="9" w16cid:durableId="28380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3"/>
    <w:rsid w:val="0000433D"/>
    <w:rsid w:val="00017EDD"/>
    <w:rsid w:val="0002602D"/>
    <w:rsid w:val="00030DAF"/>
    <w:rsid w:val="00083B4E"/>
    <w:rsid w:val="00086F77"/>
    <w:rsid w:val="000C7077"/>
    <w:rsid w:val="000F53E1"/>
    <w:rsid w:val="00106312"/>
    <w:rsid w:val="00150F3C"/>
    <w:rsid w:val="001565AC"/>
    <w:rsid w:val="001719C7"/>
    <w:rsid w:val="001736AB"/>
    <w:rsid w:val="001922BE"/>
    <w:rsid w:val="001A0B5B"/>
    <w:rsid w:val="00200EC0"/>
    <w:rsid w:val="002055FC"/>
    <w:rsid w:val="0026758F"/>
    <w:rsid w:val="00281DA5"/>
    <w:rsid w:val="00286172"/>
    <w:rsid w:val="00313F7B"/>
    <w:rsid w:val="00337C72"/>
    <w:rsid w:val="0034372C"/>
    <w:rsid w:val="00346764"/>
    <w:rsid w:val="00361EE9"/>
    <w:rsid w:val="00373A8E"/>
    <w:rsid w:val="003A7822"/>
    <w:rsid w:val="003D3FB3"/>
    <w:rsid w:val="003D663F"/>
    <w:rsid w:val="0041102B"/>
    <w:rsid w:val="00456539"/>
    <w:rsid w:val="00484985"/>
    <w:rsid w:val="004A74B3"/>
    <w:rsid w:val="004F16D1"/>
    <w:rsid w:val="00507E3F"/>
    <w:rsid w:val="00511EC4"/>
    <w:rsid w:val="005128B6"/>
    <w:rsid w:val="00523DA8"/>
    <w:rsid w:val="00547B78"/>
    <w:rsid w:val="00570BE1"/>
    <w:rsid w:val="00584641"/>
    <w:rsid w:val="00587F84"/>
    <w:rsid w:val="005A1786"/>
    <w:rsid w:val="005C66EC"/>
    <w:rsid w:val="005D3A40"/>
    <w:rsid w:val="005F22D9"/>
    <w:rsid w:val="005F3731"/>
    <w:rsid w:val="0061549A"/>
    <w:rsid w:val="00616D7E"/>
    <w:rsid w:val="00622868"/>
    <w:rsid w:val="00667F21"/>
    <w:rsid w:val="0068037C"/>
    <w:rsid w:val="0069001B"/>
    <w:rsid w:val="0069077B"/>
    <w:rsid w:val="006A097B"/>
    <w:rsid w:val="006D0D75"/>
    <w:rsid w:val="006F3C8E"/>
    <w:rsid w:val="0070540F"/>
    <w:rsid w:val="00737747"/>
    <w:rsid w:val="00740773"/>
    <w:rsid w:val="0077402D"/>
    <w:rsid w:val="007A6E1C"/>
    <w:rsid w:val="007E54C5"/>
    <w:rsid w:val="00804BD5"/>
    <w:rsid w:val="00814BEB"/>
    <w:rsid w:val="00821546"/>
    <w:rsid w:val="00832355"/>
    <w:rsid w:val="00844AAF"/>
    <w:rsid w:val="00852D05"/>
    <w:rsid w:val="00883324"/>
    <w:rsid w:val="00897264"/>
    <w:rsid w:val="008A1756"/>
    <w:rsid w:val="008A7375"/>
    <w:rsid w:val="008B6466"/>
    <w:rsid w:val="008D47F1"/>
    <w:rsid w:val="009228F0"/>
    <w:rsid w:val="009237F5"/>
    <w:rsid w:val="0093652E"/>
    <w:rsid w:val="00937FFA"/>
    <w:rsid w:val="00955BC0"/>
    <w:rsid w:val="00991710"/>
    <w:rsid w:val="00993C35"/>
    <w:rsid w:val="009B3F49"/>
    <w:rsid w:val="009B4E53"/>
    <w:rsid w:val="009C2379"/>
    <w:rsid w:val="009D18B0"/>
    <w:rsid w:val="00A14C1A"/>
    <w:rsid w:val="00A35B8F"/>
    <w:rsid w:val="00A36B0F"/>
    <w:rsid w:val="00A65305"/>
    <w:rsid w:val="00A65BD7"/>
    <w:rsid w:val="00A964E5"/>
    <w:rsid w:val="00AC6E0F"/>
    <w:rsid w:val="00AF41B9"/>
    <w:rsid w:val="00B734CD"/>
    <w:rsid w:val="00B85308"/>
    <w:rsid w:val="00B92AB3"/>
    <w:rsid w:val="00BB6DBE"/>
    <w:rsid w:val="00BE2B50"/>
    <w:rsid w:val="00C449FB"/>
    <w:rsid w:val="00C47393"/>
    <w:rsid w:val="00C71822"/>
    <w:rsid w:val="00C84D3B"/>
    <w:rsid w:val="00CC275A"/>
    <w:rsid w:val="00CC7E53"/>
    <w:rsid w:val="00CD04E7"/>
    <w:rsid w:val="00CF2724"/>
    <w:rsid w:val="00CF3D3F"/>
    <w:rsid w:val="00D115E8"/>
    <w:rsid w:val="00D47683"/>
    <w:rsid w:val="00D8022B"/>
    <w:rsid w:val="00DB3A62"/>
    <w:rsid w:val="00DE0749"/>
    <w:rsid w:val="00E12887"/>
    <w:rsid w:val="00E5709D"/>
    <w:rsid w:val="00EB533A"/>
    <w:rsid w:val="00EC23FC"/>
    <w:rsid w:val="00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9F49"/>
  <w15:docId w15:val="{39DCB6FA-32EF-44EC-9FA8-E99F605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F840E-1CBF-422A-8B8F-E6BCCB91D153}"/>
</file>

<file path=customXml/itemProps2.xml><?xml version="1.0" encoding="utf-8"?>
<ds:datastoreItem xmlns:ds="http://schemas.openxmlformats.org/officeDocument/2006/customXml" ds:itemID="{C2BA3271-F1C7-4282-9173-4AFBAE89CD56}"/>
</file>

<file path=customXml/itemProps3.xml><?xml version="1.0" encoding="utf-8"?>
<ds:datastoreItem xmlns:ds="http://schemas.openxmlformats.org/officeDocument/2006/customXml" ds:itemID="{7340EA14-06D4-4192-9E91-9D9BE111E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Kmetz</dc:creator>
  <cp:keywords/>
  <cp:lastModifiedBy>Moore, Vickie</cp:lastModifiedBy>
  <cp:revision>2</cp:revision>
  <dcterms:created xsi:type="dcterms:W3CDTF">2023-02-08T15:11:00Z</dcterms:created>
  <dcterms:modified xsi:type="dcterms:W3CDTF">2023-02-08T15:11:00Z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