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CFB2" w14:textId="13DF879D" w:rsidR="000A080F" w:rsidRPr="00E35CC7" w:rsidRDefault="00BC4A7C" w:rsidP="0056303B">
      <w:pPr>
        <w:ind w:right="900"/>
        <w:rPr>
          <w:rFonts w:cs="Arial"/>
          <w:noProof/>
          <w:szCs w:val="22"/>
        </w:rPr>
      </w:pPr>
      <w:r w:rsidRPr="00E35CC7">
        <w:softHyphen/>
      </w:r>
      <w:r w:rsidRPr="00E35CC7">
        <w:softHyphen/>
      </w:r>
    </w:p>
    <w:p w14:paraId="338CA785" w14:textId="065F917E" w:rsidR="000A080F" w:rsidRPr="00E35CC7" w:rsidRDefault="004B4E22" w:rsidP="000A080F">
      <w:pPr>
        <w:tabs>
          <w:tab w:val="left" w:pos="900"/>
        </w:tabs>
        <w:rPr>
          <w:rFonts w:cs="Arial"/>
          <w:szCs w:val="22"/>
        </w:rPr>
      </w:pPr>
      <w:r w:rsidRPr="00E35CC7">
        <w:rPr>
          <w:rFonts w:cs="Arial"/>
          <w:noProof/>
          <w:szCs w:val="22"/>
        </w:rPr>
        <w:t>Code Determination Number</w:t>
      </w:r>
      <w:r w:rsidR="000A080F" w:rsidRPr="00E35CC7">
        <w:rPr>
          <w:rFonts w:cs="Arial"/>
          <w:noProof/>
          <w:szCs w:val="22"/>
        </w:rPr>
        <w:t>:</w:t>
      </w:r>
      <w:r w:rsidR="000A080F" w:rsidRPr="00E35CC7">
        <w:rPr>
          <w:rFonts w:cs="Arial"/>
          <w:noProof/>
          <w:szCs w:val="22"/>
        </w:rPr>
        <w:tab/>
      </w:r>
      <w:r w:rsidR="000A080F" w:rsidRPr="00E35CC7">
        <w:rPr>
          <w:rFonts w:cs="Arial"/>
          <w:noProof/>
          <w:szCs w:val="22"/>
        </w:rPr>
        <w:tab/>
      </w:r>
      <w:r w:rsidR="00B14C4F">
        <w:rPr>
          <w:rFonts w:cs="Arial"/>
          <w:noProof/>
          <w:szCs w:val="22"/>
        </w:rPr>
        <w:t>010</w:t>
      </w:r>
    </w:p>
    <w:p w14:paraId="7DBB9FB7" w14:textId="0CECCF22" w:rsidR="004B4E22" w:rsidRPr="00E35CC7" w:rsidRDefault="000A080F" w:rsidP="000A080F">
      <w:pPr>
        <w:rPr>
          <w:rFonts w:cs="Arial"/>
          <w:szCs w:val="22"/>
        </w:rPr>
      </w:pPr>
      <w:r w:rsidRPr="00E35CC7">
        <w:rPr>
          <w:rFonts w:cs="Arial"/>
          <w:noProof/>
          <w:szCs w:val="22"/>
        </w:rPr>
        <w:t>Date:</w:t>
      </w:r>
      <w:r w:rsidRPr="00E35CC7">
        <w:rPr>
          <w:rFonts w:cs="Arial"/>
          <w:noProof/>
          <w:szCs w:val="22"/>
        </w:rPr>
        <w:tab/>
      </w:r>
      <w:bookmarkStart w:id="0" w:name="Text2"/>
      <w:r w:rsidRPr="00E35CC7">
        <w:rPr>
          <w:rFonts w:cs="Arial"/>
          <w:noProof/>
          <w:szCs w:val="22"/>
        </w:rPr>
        <w:tab/>
      </w:r>
      <w:bookmarkStart w:id="1" w:name="Text7"/>
      <w:bookmarkEnd w:id="0"/>
      <w:r w:rsidR="004B4E22" w:rsidRPr="00E35CC7">
        <w:rPr>
          <w:rFonts w:cs="Arial"/>
          <w:noProof/>
          <w:szCs w:val="22"/>
        </w:rPr>
        <w:tab/>
      </w:r>
      <w:r w:rsidR="004B4E22" w:rsidRPr="00E35CC7">
        <w:rPr>
          <w:rFonts w:cs="Arial"/>
          <w:noProof/>
          <w:szCs w:val="22"/>
        </w:rPr>
        <w:tab/>
      </w:r>
      <w:r w:rsidR="004B4E22" w:rsidRPr="00E35CC7">
        <w:rPr>
          <w:rFonts w:cs="Arial"/>
          <w:noProof/>
          <w:szCs w:val="22"/>
        </w:rPr>
        <w:tab/>
      </w:r>
      <w:bookmarkEnd w:id="1"/>
      <w:r w:rsidR="00C45EF9">
        <w:rPr>
          <w:rFonts w:cs="Arial"/>
          <w:szCs w:val="22"/>
        </w:rPr>
        <w:t>Ju</w:t>
      </w:r>
      <w:r w:rsidR="00B14C4F">
        <w:rPr>
          <w:rFonts w:cs="Arial"/>
          <w:szCs w:val="22"/>
        </w:rPr>
        <w:t>ly 25</w:t>
      </w:r>
      <w:r w:rsidR="00C45EF9">
        <w:rPr>
          <w:rFonts w:cs="Arial"/>
          <w:szCs w:val="22"/>
        </w:rPr>
        <w:t>, 2022</w:t>
      </w:r>
    </w:p>
    <w:p w14:paraId="65096184" w14:textId="23409DEC" w:rsidR="00E41273" w:rsidRDefault="00E41273" w:rsidP="000A080F">
      <w:pPr>
        <w:rPr>
          <w:rFonts w:cs="Arial"/>
          <w:szCs w:val="22"/>
        </w:rPr>
      </w:pPr>
      <w:r w:rsidRPr="00E35CC7">
        <w:rPr>
          <w:rFonts w:cs="Arial"/>
          <w:szCs w:val="22"/>
        </w:rPr>
        <w:t xml:space="preserve">Code </w:t>
      </w:r>
      <w:r>
        <w:rPr>
          <w:rFonts w:cs="Arial"/>
          <w:szCs w:val="22"/>
        </w:rPr>
        <w:t>Edition</w:t>
      </w:r>
      <w:r w:rsidRPr="00E35CC7">
        <w:rPr>
          <w:rFonts w:cs="Arial"/>
          <w:szCs w:val="22"/>
        </w:rPr>
        <w:t>:</w:t>
      </w:r>
      <w:r>
        <w:rPr>
          <w:rFonts w:cs="Arial"/>
          <w:szCs w:val="22"/>
        </w:rPr>
        <w:tab/>
      </w:r>
      <w:r>
        <w:rPr>
          <w:rFonts w:cs="Arial"/>
          <w:szCs w:val="22"/>
        </w:rPr>
        <w:tab/>
      </w:r>
      <w:r>
        <w:rPr>
          <w:rFonts w:cs="Arial"/>
          <w:szCs w:val="22"/>
        </w:rPr>
        <w:tab/>
      </w:r>
      <w:r>
        <w:rPr>
          <w:rFonts w:cs="Arial"/>
          <w:szCs w:val="22"/>
        </w:rPr>
        <w:tab/>
        <w:t>2021 IBC</w:t>
      </w:r>
      <w:r w:rsidRPr="00E35CC7">
        <w:rPr>
          <w:rFonts w:cs="Arial"/>
          <w:szCs w:val="22"/>
        </w:rPr>
        <w:tab/>
      </w:r>
    </w:p>
    <w:p w14:paraId="2F5C488F" w14:textId="3867CCFF" w:rsidR="005A1F9D" w:rsidRDefault="004B4E22" w:rsidP="00E41273">
      <w:pPr>
        <w:rPr>
          <w:rFonts w:cs="Arial"/>
          <w:szCs w:val="22"/>
        </w:rPr>
      </w:pPr>
      <w:r w:rsidRPr="00E35CC7">
        <w:rPr>
          <w:rFonts w:cs="Arial"/>
          <w:szCs w:val="22"/>
        </w:rPr>
        <w:t>Code Section:</w:t>
      </w:r>
      <w:r w:rsidRPr="00E35CC7">
        <w:rPr>
          <w:rFonts w:cs="Arial"/>
          <w:szCs w:val="22"/>
        </w:rPr>
        <w:tab/>
      </w:r>
      <w:r w:rsidRPr="00E35CC7">
        <w:rPr>
          <w:rFonts w:cs="Arial"/>
          <w:szCs w:val="22"/>
        </w:rPr>
        <w:tab/>
      </w:r>
      <w:r w:rsidRPr="00E35CC7">
        <w:rPr>
          <w:rFonts w:cs="Arial"/>
          <w:szCs w:val="22"/>
        </w:rPr>
        <w:tab/>
      </w:r>
      <w:r w:rsidRPr="00E35CC7">
        <w:rPr>
          <w:rFonts w:cs="Arial"/>
          <w:szCs w:val="22"/>
        </w:rPr>
        <w:tab/>
      </w:r>
      <w:r w:rsidR="00C67915">
        <w:rPr>
          <w:rFonts w:cs="Arial"/>
          <w:szCs w:val="22"/>
        </w:rPr>
        <w:t>907.2.6 Exception 2.</w:t>
      </w:r>
    </w:p>
    <w:p w14:paraId="510EEF78" w14:textId="61831EF6" w:rsidR="00C67915" w:rsidRDefault="00C67915" w:rsidP="005A1F9D">
      <w:pPr>
        <w:rPr>
          <w:rFonts w:cs="Arial"/>
          <w:szCs w:val="22"/>
        </w:rPr>
      </w:pPr>
      <w:r w:rsidRPr="00C67915">
        <w:rPr>
          <w:rFonts w:cs="Arial"/>
          <w:noProof/>
          <w:szCs w:val="22"/>
        </w:rPr>
        <w:drawing>
          <wp:inline distT="0" distB="0" distL="0" distR="0" wp14:anchorId="5E36EE3C" wp14:editId="7BB5739F">
            <wp:extent cx="6257925" cy="356540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6281213" cy="3578671"/>
                    </a:xfrm>
                    <a:prstGeom prst="rect">
                      <a:avLst/>
                    </a:prstGeom>
                  </pic:spPr>
                </pic:pic>
              </a:graphicData>
            </a:graphic>
          </wp:inline>
        </w:drawing>
      </w:r>
    </w:p>
    <w:p w14:paraId="65ADB3E2" w14:textId="532CC989" w:rsidR="000A080F" w:rsidRDefault="0023727D" w:rsidP="00E41273">
      <w:pPr>
        <w:pStyle w:val="Heading1"/>
        <w:spacing w:after="0"/>
      </w:pPr>
      <w:bookmarkStart w:id="2" w:name="_Hlk38369830"/>
      <w:r w:rsidRPr="00E35CC7">
        <w:t>Question</w:t>
      </w:r>
      <w:r w:rsidR="00E35CC7">
        <w:t xml:space="preserve"> (from GBA)</w:t>
      </w:r>
      <w:r w:rsidRPr="00E35CC7">
        <w:t>:</w:t>
      </w:r>
    </w:p>
    <w:p w14:paraId="783C6ABA" w14:textId="06D3C2B7" w:rsidR="00BC4691" w:rsidRDefault="00BC4691" w:rsidP="0092660C">
      <w:pPr>
        <w:spacing w:after="240"/>
        <w:jc w:val="both"/>
      </w:pPr>
      <w:r>
        <w:t xml:space="preserve">In both sections above, </w:t>
      </w:r>
      <w:r w:rsidR="001804BA">
        <w:t xml:space="preserve">the requirement for automatic smoke </w:t>
      </w:r>
      <w:r w:rsidR="007B6698">
        <w:t>detection is clearly stated</w:t>
      </w:r>
      <w:r w:rsidR="00A739C1">
        <w:t xml:space="preserve"> as a requirement for all ar</w:t>
      </w:r>
      <w:r w:rsidR="00E41273">
        <w:t>eas</w:t>
      </w:r>
      <w:r w:rsidR="00A0679E">
        <w:t xml:space="preserve">. However, </w:t>
      </w:r>
      <w:r w:rsidR="0092660C">
        <w:t>E</w:t>
      </w:r>
      <w:r w:rsidR="00A0679E">
        <w:t xml:space="preserve">xception </w:t>
      </w:r>
      <w:r w:rsidR="0092660C">
        <w:t>2 notes that notification may be waived in certain locations if the system is in Private Mode. Based on communication with design staff at MUHC Hospital, it was stated that there are no known patient rooms that contain either visual or audible notification. This would seem to coordinate well with Exception 2 above</w:t>
      </w:r>
      <w:r w:rsidR="00FB1D6C">
        <w:t>. However, this approval is required to be given by the Fire Code Official.</w:t>
      </w:r>
    </w:p>
    <w:p w14:paraId="7595C5E6" w14:textId="4A83385E" w:rsidR="00FB1D6C" w:rsidRDefault="00FB1D6C" w:rsidP="0092660C">
      <w:pPr>
        <w:spacing w:after="240"/>
        <w:jc w:val="both"/>
      </w:pPr>
      <w:r>
        <w:t xml:space="preserve">Question: is it to be understood that all areas of MUHC where I-2 Condition </w:t>
      </w:r>
      <w:r w:rsidR="00895066">
        <w:t xml:space="preserve">2 occupancies are present </w:t>
      </w:r>
      <w:r w:rsidR="00BA5197">
        <w:t>shall</w:t>
      </w:r>
      <w:r w:rsidR="00895066">
        <w:t xml:space="preserve"> comply</w:t>
      </w:r>
      <w:r w:rsidR="00BA5197">
        <w:t xml:space="preserve"> </w:t>
      </w:r>
      <w:r w:rsidR="00895066">
        <w:t>with this exception in the sense that the fire alarm system is on a Private Mode notification (no notification in patient rooms</w:t>
      </w:r>
      <w:r w:rsidR="00BA5197">
        <w:t xml:space="preserve">, but alerted at </w:t>
      </w:r>
      <w:r w:rsidR="00956075">
        <w:t>locations such as a Nurse’s Station</w:t>
      </w:r>
      <w:r w:rsidR="00895066">
        <w:t>) while being fully detected (including patient rooms)?</w:t>
      </w:r>
      <w:r w:rsidR="00D25FB9">
        <w:t xml:space="preserve"> I.e. is a standing approval from the AHJ given for </w:t>
      </w:r>
      <w:r w:rsidR="0013673E">
        <w:t>Private Mode signaling in I-2 Cond. 2 occupancies?</w:t>
      </w:r>
    </w:p>
    <w:p w14:paraId="3C23CD28" w14:textId="77777777" w:rsidR="00956075" w:rsidRPr="00BC4691" w:rsidRDefault="00956075" w:rsidP="0092660C">
      <w:pPr>
        <w:spacing w:after="240"/>
        <w:jc w:val="both"/>
      </w:pPr>
    </w:p>
    <w:p w14:paraId="1EDEE497" w14:textId="471C26D8" w:rsidR="0023727D" w:rsidRDefault="0023727D" w:rsidP="0023727D">
      <w:pPr>
        <w:pStyle w:val="Heading1"/>
        <w:rPr>
          <w:rStyle w:val="Strong"/>
          <w:b/>
          <w:bCs w:val="0"/>
        </w:rPr>
      </w:pPr>
      <w:bookmarkStart w:id="3" w:name="_Hlk38369834"/>
      <w:bookmarkEnd w:id="2"/>
      <w:r w:rsidRPr="00E35CC7">
        <w:rPr>
          <w:rStyle w:val="Strong"/>
          <w:b/>
          <w:bCs w:val="0"/>
        </w:rPr>
        <w:lastRenderedPageBreak/>
        <w:t>Answer</w:t>
      </w:r>
      <w:r w:rsidR="00E35CC7">
        <w:rPr>
          <w:rStyle w:val="Strong"/>
          <w:b/>
          <w:bCs w:val="0"/>
        </w:rPr>
        <w:t xml:space="preserve"> (from UM System)</w:t>
      </w:r>
      <w:r w:rsidRPr="00E35CC7">
        <w:rPr>
          <w:rStyle w:val="Strong"/>
          <w:b/>
          <w:bCs w:val="0"/>
        </w:rPr>
        <w:t>:</w:t>
      </w:r>
    </w:p>
    <w:p w14:paraId="4F5013A3" w14:textId="01E06D80" w:rsidR="002C2979" w:rsidRDefault="004245C0" w:rsidP="004245C0">
      <w:r>
        <w:t>Response: field conditions and review of current fire safety</w:t>
      </w:r>
      <w:r w:rsidR="00CC3E7C">
        <w:t>/</w:t>
      </w:r>
      <w:r>
        <w:t>evacuation plans</w:t>
      </w:r>
      <w:r w:rsidR="00CC3E7C">
        <w:t xml:space="preserve"> </w:t>
      </w:r>
      <w:r>
        <w:t>should be included in the review of each project</w:t>
      </w:r>
      <w:r w:rsidR="00CC3E7C">
        <w:t xml:space="preserve"> area</w:t>
      </w:r>
      <w:r>
        <w:t xml:space="preserve"> on a case by case basis. Private mode monitoring should also be confirmed on a case by case basis (based on current manning levels and training of staff- re. current fire safety plan for the facility, </w:t>
      </w:r>
      <w:r w:rsidR="00BD0206">
        <w:t xml:space="preserve">compliant with </w:t>
      </w:r>
      <w:r>
        <w:t xml:space="preserve">IFC </w:t>
      </w:r>
      <w:r w:rsidR="00BD0206">
        <w:t xml:space="preserve">Section 404). </w:t>
      </w:r>
      <w:r w:rsidR="002C2979">
        <w:t xml:space="preserve">The design professional in responsible charge should confirm </w:t>
      </w:r>
      <w:r w:rsidR="00CC3E7C">
        <w:t xml:space="preserve">these conditions </w:t>
      </w:r>
      <w:r w:rsidR="002C2979">
        <w:t>with MUHC staff</w:t>
      </w:r>
      <w:r w:rsidR="00CC3E7C">
        <w:t xml:space="preserve">. </w:t>
      </w:r>
      <w:r w:rsidR="002C2979">
        <w:t xml:space="preserve">  </w:t>
      </w:r>
    </w:p>
    <w:p w14:paraId="099E6317" w14:textId="5D0FB970" w:rsidR="00BD0206" w:rsidRDefault="00CC3E7C" w:rsidP="004245C0">
      <w:r>
        <w:t xml:space="preserve">  </w:t>
      </w:r>
      <w:r w:rsidR="00BD0206">
        <w:t xml:space="preserve">Once these measures are verified, yes, IBC 907.2.6, Exception note 2 can be taken. NFPA 72 allows the </w:t>
      </w:r>
      <w:r w:rsidR="000943F3">
        <w:t>“</w:t>
      </w:r>
      <w:r w:rsidR="00BD0206">
        <w:t>notification device</w:t>
      </w:r>
      <w:r w:rsidR="000943F3">
        <w:t>”</w:t>
      </w:r>
      <w:r w:rsidR="00BD0206">
        <w:t xml:space="preserve"> to be located outside the patient room (corridor side), or at the nurses station. Either configuration is acceptable. </w:t>
      </w:r>
      <w:r w:rsidR="00827570">
        <w:t>All p</w:t>
      </w:r>
      <w:r w:rsidR="00BD0206">
        <w:t xml:space="preserve">atient rooms will require </w:t>
      </w:r>
      <w:r w:rsidR="000943F3">
        <w:t>a “</w:t>
      </w:r>
      <w:r w:rsidR="00BD0206">
        <w:t>detection device</w:t>
      </w:r>
      <w:r w:rsidR="000943F3">
        <w:t>”</w:t>
      </w:r>
      <w:r w:rsidR="00BD0206">
        <w:t xml:space="preserve"> as noted above.</w:t>
      </w:r>
    </w:p>
    <w:p w14:paraId="3F421350" w14:textId="4A5A0E85" w:rsidR="000943F3" w:rsidRDefault="00827570" w:rsidP="004245C0">
      <w:r>
        <w:t xml:space="preserve">  Additionally, MUHC staff can provide designers a copy of the current accreditation documentation denoting private mode monitoring status to include in design back up records.</w:t>
      </w:r>
    </w:p>
    <w:p w14:paraId="2D661100" w14:textId="77777777" w:rsidR="00827570" w:rsidRDefault="00827570" w:rsidP="004245C0"/>
    <w:p w14:paraId="5B62CE78" w14:textId="37C092DB" w:rsidR="000943F3" w:rsidRDefault="000943F3" w:rsidP="004245C0">
      <w:r>
        <w:t xml:space="preserve">Applicability: this would apply to Category 1 or 2 patient spaces within an I-1 or I-2 occupancy (critical care, operating rooms, and inpatient bedrooms, dialysis rooms, etc.). Category 3 or 4 patient spaces (exam rooms, </w:t>
      </w:r>
      <w:r w:rsidR="006C139B">
        <w:t xml:space="preserve">medical office, utility room, store room, general support rooms, morgue, etc.) will require standard detection and notification devices, per NFPA 72, unless a variance is approved by the AHJ. </w:t>
      </w:r>
      <w:r>
        <w:t xml:space="preserve"> </w:t>
      </w:r>
    </w:p>
    <w:p w14:paraId="1E0B08A2" w14:textId="6FB18DEB" w:rsidR="004245C0" w:rsidRPr="004245C0" w:rsidRDefault="00BD0206" w:rsidP="004245C0">
      <w:r>
        <w:t xml:space="preserve"> </w:t>
      </w:r>
      <w:r w:rsidR="004245C0">
        <w:t xml:space="preserve"> </w:t>
      </w:r>
      <w:bookmarkEnd w:id="3"/>
    </w:p>
    <w:sectPr w:rsidR="004245C0" w:rsidRPr="004245C0" w:rsidSect="001D7C8A">
      <w:headerReference w:type="default" r:id="rId12"/>
      <w:footerReference w:type="default" r:id="rId13"/>
      <w:headerReference w:type="first" r:id="rId14"/>
      <w:footerReference w:type="first" r:id="rId15"/>
      <w:pgSz w:w="12240" w:h="15840"/>
      <w:pgMar w:top="1440" w:right="1080" w:bottom="1080" w:left="1080" w:header="71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0D02" w14:textId="77777777" w:rsidR="009B1C0A" w:rsidRDefault="009B1C0A" w:rsidP="00BC4A7C">
      <w:r>
        <w:separator/>
      </w:r>
    </w:p>
  </w:endnote>
  <w:endnote w:type="continuationSeparator" w:id="0">
    <w:p w14:paraId="4CF710BB" w14:textId="77777777" w:rsidR="009B1C0A" w:rsidRDefault="009B1C0A" w:rsidP="00BC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BD24" w14:textId="77777777" w:rsidR="00BC4A7C" w:rsidRPr="00176FA9" w:rsidRDefault="00DC5848" w:rsidP="00DC5848">
    <w:pPr>
      <w:pStyle w:val="Footer"/>
      <w:tabs>
        <w:tab w:val="clear" w:pos="4680"/>
        <w:tab w:val="clear" w:pos="9360"/>
        <w:tab w:val="right" w:pos="9180"/>
      </w:tabs>
      <w:ind w:left="-1350" w:right="-1260"/>
    </w:pPr>
    <w:r w:rsidRPr="00DC5848">
      <w:rPr>
        <w:noProof/>
      </w:rPr>
      <w:drawing>
        <wp:anchor distT="0" distB="0" distL="114300" distR="114300" simplePos="0" relativeHeight="251660288" behindDoc="1" locked="0" layoutInCell="1" allowOverlap="1" wp14:anchorId="2E3D64F3" wp14:editId="04569A38">
          <wp:simplePos x="0" y="0"/>
          <wp:positionH relativeFrom="column">
            <wp:posOffset>-857250</wp:posOffset>
          </wp:positionH>
          <wp:positionV relativeFrom="paragraph">
            <wp:posOffset>-151696</wp:posOffset>
          </wp:positionV>
          <wp:extent cx="8001000" cy="402336"/>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0"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0D7B" w14:textId="77777777" w:rsidR="00657A0E" w:rsidRDefault="00657A0E">
    <w:pPr>
      <w:pStyle w:val="Footer"/>
    </w:pPr>
    <w:r w:rsidRPr="00DC5848">
      <w:rPr>
        <w:noProof/>
      </w:rPr>
      <w:drawing>
        <wp:anchor distT="0" distB="0" distL="114300" distR="114300" simplePos="0" relativeHeight="251665408" behindDoc="1" locked="0" layoutInCell="1" allowOverlap="1" wp14:anchorId="66D02228" wp14:editId="59BB4780">
          <wp:simplePos x="0" y="0"/>
          <wp:positionH relativeFrom="page">
            <wp:posOffset>-114300</wp:posOffset>
          </wp:positionH>
          <wp:positionV relativeFrom="paragraph">
            <wp:posOffset>-223520</wp:posOffset>
          </wp:positionV>
          <wp:extent cx="8001000" cy="40233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0"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BE0C" w14:textId="77777777" w:rsidR="009B1C0A" w:rsidRDefault="009B1C0A" w:rsidP="00BC4A7C">
      <w:r>
        <w:separator/>
      </w:r>
    </w:p>
  </w:footnote>
  <w:footnote w:type="continuationSeparator" w:id="0">
    <w:p w14:paraId="0DE175E1" w14:textId="77777777" w:rsidR="009B1C0A" w:rsidRDefault="009B1C0A" w:rsidP="00BC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32CB" w14:textId="626AE4F6" w:rsidR="00BC4A7C" w:rsidRDefault="009A2C83" w:rsidP="00BC4A7C">
    <w:pPr>
      <w:pStyle w:val="Header"/>
      <w:ind w:left="-45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D3F8" w14:textId="7EC40B25" w:rsidR="00657A0E" w:rsidRPr="0056303B" w:rsidRDefault="0056303B">
    <w:pPr>
      <w:pStyle w:val="Header"/>
      <w:rPr>
        <w:b/>
        <w:bCs/>
        <w:sz w:val="56"/>
        <w:szCs w:val="72"/>
      </w:rPr>
    </w:pPr>
    <w:r w:rsidRPr="000C7406">
      <w:rPr>
        <w:b/>
        <w:bCs/>
        <w:sz w:val="56"/>
        <w:szCs w:val="72"/>
      </w:rPr>
      <w:t>UM System Code Determination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70F"/>
    <w:multiLevelType w:val="hybridMultilevel"/>
    <w:tmpl w:val="05A4BB82"/>
    <w:lvl w:ilvl="0" w:tplc="EFD0BD64">
      <w:start w:val="1"/>
      <w:numFmt w:val="decimal"/>
      <w:lvlText w:val="%1."/>
      <w:lvlJc w:val="left"/>
      <w:pPr>
        <w:ind w:left="720" w:hanging="360"/>
      </w:pPr>
      <w:rPr>
        <w:rFonts w:ascii="Arial" w:eastAsia="Times New Roman"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4929B6"/>
    <w:multiLevelType w:val="hybridMultilevel"/>
    <w:tmpl w:val="20F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82C8D"/>
    <w:multiLevelType w:val="hybridMultilevel"/>
    <w:tmpl w:val="C7ACB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306760"/>
    <w:multiLevelType w:val="hybridMultilevel"/>
    <w:tmpl w:val="C2F23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F76254"/>
    <w:multiLevelType w:val="hybridMultilevel"/>
    <w:tmpl w:val="FC6AFD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106074405">
    <w:abstractNumId w:val="0"/>
  </w:num>
  <w:num w:numId="2" w16cid:durableId="1585408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088812">
    <w:abstractNumId w:val="3"/>
  </w:num>
  <w:num w:numId="4" w16cid:durableId="654384193">
    <w:abstractNumId w:val="4"/>
  </w:num>
  <w:num w:numId="5" w16cid:durableId="1725903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95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7C"/>
    <w:rsid w:val="00004790"/>
    <w:rsid w:val="000943F3"/>
    <w:rsid w:val="000A080F"/>
    <w:rsid w:val="001310A8"/>
    <w:rsid w:val="0013673E"/>
    <w:rsid w:val="00175392"/>
    <w:rsid w:val="00176FA9"/>
    <w:rsid w:val="001804BA"/>
    <w:rsid w:val="00193BE0"/>
    <w:rsid w:val="001943C3"/>
    <w:rsid w:val="001D7C8A"/>
    <w:rsid w:val="0023727D"/>
    <w:rsid w:val="00262602"/>
    <w:rsid w:val="00286904"/>
    <w:rsid w:val="002937D1"/>
    <w:rsid w:val="002C2979"/>
    <w:rsid w:val="00350302"/>
    <w:rsid w:val="003805FF"/>
    <w:rsid w:val="0038421C"/>
    <w:rsid w:val="003D3B64"/>
    <w:rsid w:val="004245C0"/>
    <w:rsid w:val="00471932"/>
    <w:rsid w:val="004B4E22"/>
    <w:rsid w:val="005437F2"/>
    <w:rsid w:val="0055039C"/>
    <w:rsid w:val="0056303B"/>
    <w:rsid w:val="00575A90"/>
    <w:rsid w:val="005A1F9D"/>
    <w:rsid w:val="005C1A0F"/>
    <w:rsid w:val="005D6765"/>
    <w:rsid w:val="00614C10"/>
    <w:rsid w:val="006308BB"/>
    <w:rsid w:val="006309F8"/>
    <w:rsid w:val="00657A0E"/>
    <w:rsid w:val="00691B4B"/>
    <w:rsid w:val="006C139B"/>
    <w:rsid w:val="006D0B83"/>
    <w:rsid w:val="006F01DF"/>
    <w:rsid w:val="00717196"/>
    <w:rsid w:val="007B6698"/>
    <w:rsid w:val="00827570"/>
    <w:rsid w:val="00895066"/>
    <w:rsid w:val="008963A9"/>
    <w:rsid w:val="008A0A72"/>
    <w:rsid w:val="008A7251"/>
    <w:rsid w:val="008C58BE"/>
    <w:rsid w:val="008E3955"/>
    <w:rsid w:val="0092660C"/>
    <w:rsid w:val="00956075"/>
    <w:rsid w:val="009776CF"/>
    <w:rsid w:val="00977ABF"/>
    <w:rsid w:val="0099510A"/>
    <w:rsid w:val="009A2C83"/>
    <w:rsid w:val="009B1C0A"/>
    <w:rsid w:val="009B269C"/>
    <w:rsid w:val="00A0679E"/>
    <w:rsid w:val="00A739C1"/>
    <w:rsid w:val="00AA38BC"/>
    <w:rsid w:val="00B0514C"/>
    <w:rsid w:val="00B14C4F"/>
    <w:rsid w:val="00B568FC"/>
    <w:rsid w:val="00B870AD"/>
    <w:rsid w:val="00BA5197"/>
    <w:rsid w:val="00BC4691"/>
    <w:rsid w:val="00BC4A7C"/>
    <w:rsid w:val="00BD0206"/>
    <w:rsid w:val="00BD62EF"/>
    <w:rsid w:val="00C45EF9"/>
    <w:rsid w:val="00C67915"/>
    <w:rsid w:val="00C93153"/>
    <w:rsid w:val="00CA3FBD"/>
    <w:rsid w:val="00CB28FF"/>
    <w:rsid w:val="00CC3E7C"/>
    <w:rsid w:val="00CD443E"/>
    <w:rsid w:val="00CF0975"/>
    <w:rsid w:val="00D00144"/>
    <w:rsid w:val="00D25FB9"/>
    <w:rsid w:val="00D62FE0"/>
    <w:rsid w:val="00D63885"/>
    <w:rsid w:val="00DA4B1B"/>
    <w:rsid w:val="00DB6422"/>
    <w:rsid w:val="00DC0906"/>
    <w:rsid w:val="00DC5848"/>
    <w:rsid w:val="00E35CC7"/>
    <w:rsid w:val="00E36F42"/>
    <w:rsid w:val="00E41273"/>
    <w:rsid w:val="00EC3B0F"/>
    <w:rsid w:val="00F4483B"/>
    <w:rsid w:val="00F87F95"/>
    <w:rsid w:val="00F901CF"/>
    <w:rsid w:val="00FB1D6C"/>
    <w:rsid w:val="00FB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DF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727D"/>
    <w:pPr>
      <w:spacing w:line="360" w:lineRule="auto"/>
    </w:pPr>
  </w:style>
  <w:style w:type="paragraph" w:styleId="Heading1">
    <w:name w:val="heading 1"/>
    <w:basedOn w:val="Normal"/>
    <w:next w:val="Normal"/>
    <w:link w:val="Heading1Char"/>
    <w:uiPriority w:val="9"/>
    <w:qFormat/>
    <w:rsid w:val="0023727D"/>
    <w:pPr>
      <w:spacing w:after="240"/>
      <w:outlineLvl w:val="0"/>
    </w:pPr>
    <w:rPr>
      <w:b/>
    </w:rPr>
  </w:style>
  <w:style w:type="paragraph" w:styleId="Heading2">
    <w:name w:val="heading 2"/>
    <w:basedOn w:val="Normal"/>
    <w:next w:val="Normal"/>
    <w:link w:val="Heading2Char"/>
    <w:uiPriority w:val="9"/>
    <w:unhideWhenUsed/>
    <w:qFormat/>
    <w:rsid w:val="00237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A7C"/>
    <w:pPr>
      <w:tabs>
        <w:tab w:val="center" w:pos="4680"/>
        <w:tab w:val="right" w:pos="9360"/>
      </w:tabs>
    </w:pPr>
  </w:style>
  <w:style w:type="character" w:customStyle="1" w:styleId="HeaderChar">
    <w:name w:val="Header Char"/>
    <w:basedOn w:val="DefaultParagraphFont"/>
    <w:link w:val="Header"/>
    <w:uiPriority w:val="99"/>
    <w:rsid w:val="00BC4A7C"/>
  </w:style>
  <w:style w:type="paragraph" w:styleId="Footer">
    <w:name w:val="footer"/>
    <w:basedOn w:val="Normal"/>
    <w:link w:val="FooterChar"/>
    <w:uiPriority w:val="99"/>
    <w:unhideWhenUsed/>
    <w:rsid w:val="00BC4A7C"/>
    <w:pPr>
      <w:tabs>
        <w:tab w:val="center" w:pos="4680"/>
        <w:tab w:val="right" w:pos="9360"/>
      </w:tabs>
    </w:pPr>
  </w:style>
  <w:style w:type="character" w:customStyle="1" w:styleId="FooterChar">
    <w:name w:val="Footer Char"/>
    <w:basedOn w:val="DefaultParagraphFont"/>
    <w:link w:val="Footer"/>
    <w:uiPriority w:val="99"/>
    <w:rsid w:val="00BC4A7C"/>
  </w:style>
  <w:style w:type="paragraph" w:styleId="NormalWeb">
    <w:name w:val="Normal (Web)"/>
    <w:basedOn w:val="Normal"/>
    <w:uiPriority w:val="99"/>
    <w:semiHidden/>
    <w:unhideWhenUsed/>
    <w:rsid w:val="00AA38BC"/>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23727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3727D"/>
    <w:rPr>
      <w:b/>
    </w:rPr>
  </w:style>
  <w:style w:type="character" w:styleId="Strong">
    <w:name w:val="Strong"/>
    <w:basedOn w:val="DefaultParagraphFont"/>
    <w:uiPriority w:val="22"/>
    <w:qFormat/>
    <w:rsid w:val="0023727D"/>
    <w:rPr>
      <w:b/>
      <w:bCs/>
    </w:rPr>
  </w:style>
  <w:style w:type="paragraph" w:styleId="ListParagraph">
    <w:name w:val="List Paragraph"/>
    <w:basedOn w:val="Normal"/>
    <w:uiPriority w:val="34"/>
    <w:qFormat/>
    <w:rsid w:val="00E35CC7"/>
    <w:pPr>
      <w:ind w:left="720"/>
      <w:contextualSpacing/>
    </w:pPr>
  </w:style>
  <w:style w:type="character" w:styleId="CommentReference">
    <w:name w:val="annotation reference"/>
    <w:basedOn w:val="DefaultParagraphFont"/>
    <w:uiPriority w:val="99"/>
    <w:semiHidden/>
    <w:unhideWhenUsed/>
    <w:rsid w:val="002937D1"/>
    <w:rPr>
      <w:sz w:val="16"/>
      <w:szCs w:val="16"/>
    </w:rPr>
  </w:style>
  <w:style w:type="paragraph" w:styleId="CommentText">
    <w:name w:val="annotation text"/>
    <w:basedOn w:val="Normal"/>
    <w:link w:val="CommentTextChar"/>
    <w:uiPriority w:val="99"/>
    <w:semiHidden/>
    <w:unhideWhenUsed/>
    <w:rsid w:val="002937D1"/>
    <w:pPr>
      <w:spacing w:line="240" w:lineRule="auto"/>
    </w:pPr>
    <w:rPr>
      <w:sz w:val="20"/>
      <w:szCs w:val="20"/>
    </w:rPr>
  </w:style>
  <w:style w:type="character" w:customStyle="1" w:styleId="CommentTextChar">
    <w:name w:val="Comment Text Char"/>
    <w:basedOn w:val="DefaultParagraphFont"/>
    <w:link w:val="CommentText"/>
    <w:uiPriority w:val="99"/>
    <w:semiHidden/>
    <w:rsid w:val="002937D1"/>
    <w:rPr>
      <w:sz w:val="20"/>
      <w:szCs w:val="20"/>
    </w:rPr>
  </w:style>
  <w:style w:type="paragraph" w:styleId="CommentSubject">
    <w:name w:val="annotation subject"/>
    <w:basedOn w:val="CommentText"/>
    <w:next w:val="CommentText"/>
    <w:link w:val="CommentSubjectChar"/>
    <w:uiPriority w:val="99"/>
    <w:semiHidden/>
    <w:unhideWhenUsed/>
    <w:rsid w:val="002937D1"/>
    <w:rPr>
      <w:b/>
      <w:bCs/>
    </w:rPr>
  </w:style>
  <w:style w:type="character" w:customStyle="1" w:styleId="CommentSubjectChar">
    <w:name w:val="Comment Subject Char"/>
    <w:basedOn w:val="CommentTextChar"/>
    <w:link w:val="CommentSubject"/>
    <w:uiPriority w:val="99"/>
    <w:semiHidden/>
    <w:rsid w:val="002937D1"/>
    <w:rPr>
      <w:b/>
      <w:bCs/>
      <w:sz w:val="20"/>
      <w:szCs w:val="20"/>
    </w:rPr>
  </w:style>
  <w:style w:type="paragraph" w:styleId="BalloonText">
    <w:name w:val="Balloon Text"/>
    <w:basedOn w:val="Normal"/>
    <w:link w:val="BalloonTextChar"/>
    <w:uiPriority w:val="99"/>
    <w:semiHidden/>
    <w:unhideWhenUsed/>
    <w:rsid w:val="002937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2043">
      <w:bodyDiv w:val="1"/>
      <w:marLeft w:val="0"/>
      <w:marRight w:val="0"/>
      <w:marTop w:val="0"/>
      <w:marBottom w:val="0"/>
      <w:divBdr>
        <w:top w:val="none" w:sz="0" w:space="0" w:color="auto"/>
        <w:left w:val="none" w:sz="0" w:space="0" w:color="auto"/>
        <w:bottom w:val="none" w:sz="0" w:space="0" w:color="auto"/>
        <w:right w:val="none" w:sz="0" w:space="0" w:color="auto"/>
      </w:divBdr>
    </w:div>
    <w:div w:id="749498104">
      <w:bodyDiv w:val="1"/>
      <w:marLeft w:val="0"/>
      <w:marRight w:val="0"/>
      <w:marTop w:val="0"/>
      <w:marBottom w:val="0"/>
      <w:divBdr>
        <w:top w:val="none" w:sz="0" w:space="0" w:color="auto"/>
        <w:left w:val="none" w:sz="0" w:space="0" w:color="auto"/>
        <w:bottom w:val="none" w:sz="0" w:space="0" w:color="auto"/>
        <w:right w:val="none" w:sz="0" w:space="0" w:color="auto"/>
      </w:divBdr>
    </w:div>
    <w:div w:id="1231423642">
      <w:bodyDiv w:val="1"/>
      <w:marLeft w:val="0"/>
      <w:marRight w:val="0"/>
      <w:marTop w:val="0"/>
      <w:marBottom w:val="0"/>
      <w:divBdr>
        <w:top w:val="none" w:sz="0" w:space="0" w:color="auto"/>
        <w:left w:val="none" w:sz="0" w:space="0" w:color="auto"/>
        <w:bottom w:val="none" w:sz="0" w:space="0" w:color="auto"/>
        <w:right w:val="none" w:sz="0" w:space="0" w:color="auto"/>
      </w:divBdr>
    </w:div>
    <w:div w:id="1232807715">
      <w:bodyDiv w:val="1"/>
      <w:marLeft w:val="0"/>
      <w:marRight w:val="0"/>
      <w:marTop w:val="0"/>
      <w:marBottom w:val="0"/>
      <w:divBdr>
        <w:top w:val="none" w:sz="0" w:space="0" w:color="auto"/>
        <w:left w:val="none" w:sz="0" w:space="0" w:color="auto"/>
        <w:bottom w:val="none" w:sz="0" w:space="0" w:color="auto"/>
        <w:right w:val="none" w:sz="0" w:space="0" w:color="auto"/>
      </w:divBdr>
    </w:div>
    <w:div w:id="1587882313">
      <w:bodyDiv w:val="1"/>
      <w:marLeft w:val="0"/>
      <w:marRight w:val="0"/>
      <w:marTop w:val="0"/>
      <w:marBottom w:val="0"/>
      <w:divBdr>
        <w:top w:val="none" w:sz="0" w:space="0" w:color="auto"/>
        <w:left w:val="none" w:sz="0" w:space="0" w:color="auto"/>
        <w:bottom w:val="none" w:sz="0" w:space="0" w:color="auto"/>
        <w:right w:val="none" w:sz="0" w:space="0" w:color="auto"/>
      </w:divBdr>
    </w:div>
    <w:div w:id="20113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780CA7-4448-4705-9F83-9EE8133C3C3C}"/>
</file>

<file path=customXml/itemProps2.xml><?xml version="1.0" encoding="utf-8"?>
<ds:datastoreItem xmlns:ds="http://schemas.openxmlformats.org/officeDocument/2006/customXml" ds:itemID="{62426D91-AE24-4E6C-96D3-72F4B09CD7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772D2-FABC-4201-9CB3-B7B262A7C63D}">
  <ds:schemaRefs>
    <ds:schemaRef ds:uri="http://schemas.microsoft.com/sharepoint/v3/contenttype/forms"/>
  </ds:schemaRefs>
</ds:datastoreItem>
</file>

<file path=customXml/itemProps4.xml><?xml version="1.0" encoding="utf-8"?>
<ds:datastoreItem xmlns:ds="http://schemas.openxmlformats.org/officeDocument/2006/customXml" ds:itemID="{C6C9EEC8-A33F-4DE0-9D9C-D4F23D76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Kmetz</dc:creator>
  <cp:keywords/>
  <dc:description/>
  <cp:lastModifiedBy>Haynes, Dennis J.</cp:lastModifiedBy>
  <cp:revision>9</cp:revision>
  <cp:lastPrinted>2017-12-04T16:12:00Z</cp:lastPrinted>
  <dcterms:created xsi:type="dcterms:W3CDTF">2022-07-07T21:04:00Z</dcterms:created>
  <dcterms:modified xsi:type="dcterms:W3CDTF">2022-07-25T14:06:00Z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