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0D08" w14:textId="3EC16116" w:rsidR="00C47393" w:rsidRDefault="00740773">
      <w:pPr>
        <w:spacing w:after="0" w:line="259" w:lineRule="auto"/>
        <w:ind w:left="0" w:firstLine="0"/>
      </w:pPr>
      <w:r>
        <w:rPr>
          <w:b/>
          <w:sz w:val="56"/>
        </w:rPr>
        <w:t xml:space="preserve">UM System </w:t>
      </w:r>
      <w:r w:rsidR="00D115E8">
        <w:rPr>
          <w:b/>
          <w:sz w:val="56"/>
        </w:rPr>
        <w:t xml:space="preserve">AHJ </w:t>
      </w:r>
      <w:r>
        <w:rPr>
          <w:b/>
          <w:sz w:val="56"/>
        </w:rPr>
        <w:t xml:space="preserve">Code Determination </w:t>
      </w:r>
    </w:p>
    <w:p w14:paraId="580DBBB4" w14:textId="77777777" w:rsidR="00C47393" w:rsidRDefault="00740773">
      <w:pPr>
        <w:spacing w:after="105" w:line="259" w:lineRule="auto"/>
        <w:ind w:left="0" w:firstLine="0"/>
      </w:pPr>
      <w:r>
        <w:t xml:space="preserve"> </w:t>
      </w:r>
    </w:p>
    <w:p w14:paraId="21E6D364" w14:textId="0AC4B969" w:rsidR="00C47393" w:rsidRDefault="00740773">
      <w:pPr>
        <w:tabs>
          <w:tab w:val="center" w:pos="3724"/>
        </w:tabs>
        <w:ind w:left="-15" w:firstLine="0"/>
      </w:pPr>
      <w:r>
        <w:t xml:space="preserve">Code Determination Number:  </w:t>
      </w:r>
      <w:r w:rsidR="00C71822">
        <w:t xml:space="preserve">       </w:t>
      </w:r>
      <w:r>
        <w:t>0</w:t>
      </w:r>
      <w:r w:rsidR="00373A8E">
        <w:t>9</w:t>
      </w:r>
      <w:r>
        <w:t xml:space="preserve"> </w:t>
      </w:r>
    </w:p>
    <w:p w14:paraId="2F48657E" w14:textId="6216FF1D" w:rsidR="00C47393" w:rsidRDefault="00740773">
      <w:pPr>
        <w:tabs>
          <w:tab w:val="center" w:pos="1440"/>
          <w:tab w:val="center" w:pos="2160"/>
          <w:tab w:val="center" w:pos="2881"/>
          <w:tab w:val="center" w:pos="4306"/>
        </w:tabs>
        <w:ind w:left="-15" w:firstLine="0"/>
      </w:pPr>
      <w:r>
        <w:t xml:space="preserve">Date:  </w:t>
      </w:r>
      <w:r w:rsidR="00B85308"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B85308">
        <w:t xml:space="preserve">                  </w:t>
      </w:r>
      <w:r w:rsidR="00C71822">
        <w:t>0</w:t>
      </w:r>
      <w:r w:rsidR="00373A8E">
        <w:t>4 April, 2022</w:t>
      </w:r>
      <w:r>
        <w:t xml:space="preserve"> </w:t>
      </w:r>
    </w:p>
    <w:p w14:paraId="0D8C7597" w14:textId="55F5D153" w:rsidR="00EB533A" w:rsidRPr="00B85308" w:rsidRDefault="00EB533A">
      <w:pPr>
        <w:tabs>
          <w:tab w:val="center" w:pos="2160"/>
          <w:tab w:val="center" w:pos="2881"/>
          <w:tab w:val="center" w:pos="4061"/>
        </w:tabs>
        <w:ind w:left="-15" w:firstLine="0"/>
      </w:pPr>
      <w:r w:rsidRPr="00EB533A">
        <w:rPr>
          <w:u w:val="single"/>
        </w:rPr>
        <w:t>Subject</w:t>
      </w:r>
      <w:r w:rsidRPr="00B85308">
        <w:t xml:space="preserve">: </w:t>
      </w:r>
      <w:r w:rsidRPr="00B85308">
        <w:tab/>
        <w:t xml:space="preserve"> </w:t>
      </w:r>
      <w:r w:rsidR="00B85308">
        <w:t xml:space="preserve">                                        </w:t>
      </w:r>
      <w:r w:rsidR="00883324">
        <w:t>Calculating</w:t>
      </w:r>
      <w:r w:rsidR="00E5709D">
        <w:t xml:space="preserve"> </w:t>
      </w:r>
      <w:r w:rsidR="00584641">
        <w:t>construction valuation for code consultant proposals</w:t>
      </w:r>
      <w:r w:rsidR="00D115E8" w:rsidRPr="00D115E8">
        <w:t xml:space="preserve">                     </w:t>
      </w:r>
    </w:p>
    <w:p w14:paraId="076A552A" w14:textId="31675D15" w:rsidR="00C47393" w:rsidRDefault="00740773">
      <w:pPr>
        <w:tabs>
          <w:tab w:val="center" w:pos="2160"/>
          <w:tab w:val="center" w:pos="2881"/>
          <w:tab w:val="center" w:pos="4061"/>
        </w:tabs>
        <w:ind w:left="-15" w:firstLine="0"/>
      </w:pPr>
      <w:r>
        <w:t xml:space="preserve">Code Edition:  </w:t>
      </w:r>
      <w:r>
        <w:tab/>
        <w:t xml:space="preserve"> </w:t>
      </w:r>
      <w:r>
        <w:tab/>
        <w:t xml:space="preserve"> </w:t>
      </w:r>
      <w:r w:rsidR="00373A8E">
        <w:tab/>
        <w:t xml:space="preserve">       </w:t>
      </w:r>
      <w:r>
        <w:t>20</w:t>
      </w:r>
      <w:r w:rsidR="00373A8E">
        <w:t>21</w:t>
      </w:r>
      <w:r>
        <w:t xml:space="preserve"> I</w:t>
      </w:r>
      <w:r w:rsidR="00373A8E">
        <w:t>CC Codes</w:t>
      </w:r>
      <w:r w:rsidR="006A097B">
        <w:t>, 2020 NFPA 70</w:t>
      </w:r>
      <w:r w:rsidR="00883324">
        <w:t>, etc.</w:t>
      </w:r>
      <w:r w:rsidR="00373A8E">
        <w:t xml:space="preserve"> </w:t>
      </w:r>
      <w:r>
        <w:t xml:space="preserve">  </w:t>
      </w:r>
    </w:p>
    <w:p w14:paraId="1551DD30" w14:textId="5015D4D1" w:rsidR="00C47393" w:rsidRDefault="00740773">
      <w:pPr>
        <w:tabs>
          <w:tab w:val="center" w:pos="2160"/>
          <w:tab w:val="center" w:pos="2881"/>
          <w:tab w:val="center" w:pos="4513"/>
        </w:tabs>
        <w:ind w:left="-15" w:firstLine="0"/>
      </w:pPr>
      <w:r>
        <w:t>Code Section</w:t>
      </w:r>
      <w:r w:rsidR="00B85308">
        <w:t>(s)</w:t>
      </w:r>
      <w:r>
        <w:t xml:space="preserve">:  </w:t>
      </w:r>
      <w:r>
        <w:tab/>
        <w:t xml:space="preserve"> </w:t>
      </w:r>
      <w:r>
        <w:tab/>
        <w:t xml:space="preserve"> </w:t>
      </w:r>
      <w:r w:rsidR="0002602D">
        <w:t xml:space="preserve">       </w:t>
      </w:r>
      <w:r w:rsidR="00C71822">
        <w:tab/>
      </w:r>
      <w:r w:rsidR="00883324">
        <w:t xml:space="preserve">IBC 109.3, IEBC 108.3, IFC 107.3, IMC 109.3, IPC 109.2, NFPA </w:t>
      </w:r>
      <w:r w:rsidR="00C71822">
        <w:t xml:space="preserve">70 </w:t>
      </w:r>
      <w:r w:rsidR="00883324">
        <w:t>Annex H. Section 80.19</w:t>
      </w:r>
      <w:r w:rsidR="00C71822">
        <w:t xml:space="preserve"> (E)</w:t>
      </w:r>
      <w:r w:rsidR="00883324">
        <w:t>, etc.</w:t>
      </w:r>
      <w:r w:rsidR="0002602D">
        <w:t xml:space="preserve">             </w:t>
      </w:r>
    </w:p>
    <w:p w14:paraId="7F62D360" w14:textId="75A9133B" w:rsidR="00C47393" w:rsidRDefault="00C47393">
      <w:pPr>
        <w:spacing w:line="259" w:lineRule="auto"/>
        <w:ind w:left="0" w:firstLine="0"/>
      </w:pPr>
    </w:p>
    <w:p w14:paraId="0D540C2E" w14:textId="605E573E" w:rsidR="00C47393" w:rsidRPr="0069077B" w:rsidRDefault="00740773">
      <w:pPr>
        <w:spacing w:after="348" w:line="259" w:lineRule="auto"/>
        <w:ind w:left="-5"/>
        <w:rPr>
          <w:u w:val="single"/>
        </w:rPr>
      </w:pPr>
      <w:r w:rsidRPr="0069077B">
        <w:rPr>
          <w:b/>
          <w:u w:val="single"/>
        </w:rPr>
        <w:t>Question</w:t>
      </w:r>
      <w:r w:rsidR="0002602D" w:rsidRPr="0069077B">
        <w:rPr>
          <w:b/>
          <w:u w:val="single"/>
        </w:rPr>
        <w:t>s</w:t>
      </w:r>
      <w:r w:rsidRPr="0069077B">
        <w:rPr>
          <w:b/>
          <w:u w:val="single"/>
        </w:rPr>
        <w:t xml:space="preserve"> (from </w:t>
      </w:r>
      <w:r w:rsidR="006A097B">
        <w:rPr>
          <w:b/>
          <w:u w:val="single"/>
        </w:rPr>
        <w:t>MU Campus staff Inspectors and PM’s)</w:t>
      </w:r>
      <w:r w:rsidRPr="0069077B">
        <w:rPr>
          <w:b/>
          <w:u w:val="single"/>
        </w:rPr>
        <w:t xml:space="preserve">: </w:t>
      </w:r>
    </w:p>
    <w:p w14:paraId="02B81B5A" w14:textId="2067435B" w:rsidR="0002602D" w:rsidRDefault="00C71822" w:rsidP="0002602D">
      <w:pPr>
        <w:pStyle w:val="ListParagraph"/>
        <w:numPr>
          <w:ilvl w:val="0"/>
          <w:numId w:val="2"/>
        </w:numPr>
      </w:pPr>
      <w:r>
        <w:t xml:space="preserve">What portions of the construction cost estimate should be included in </w:t>
      </w:r>
      <w:r w:rsidR="00CF2724">
        <w:t>“Construction Value” line for 3</w:t>
      </w:r>
      <w:r w:rsidR="00CF2724" w:rsidRPr="00CF2724">
        <w:rPr>
          <w:vertAlign w:val="superscript"/>
        </w:rPr>
        <w:t>rd</w:t>
      </w:r>
      <w:r w:rsidR="00CF2724">
        <w:t xml:space="preserve"> party code consultant RFP’s</w:t>
      </w:r>
      <w:r>
        <w:t>?</w:t>
      </w:r>
      <w:r w:rsidR="008D47F1">
        <w:t xml:space="preserve"> </w:t>
      </w:r>
      <w:r w:rsidR="00CF2724">
        <w:t xml:space="preserve">  </w:t>
      </w:r>
      <w:r w:rsidR="008D47F1">
        <w:t xml:space="preserve">Or should I enter the whole value of the </w:t>
      </w:r>
      <w:r w:rsidR="00584641">
        <w:t xml:space="preserve">construction </w:t>
      </w:r>
      <w:r w:rsidR="00CF2724">
        <w:t>estimate</w:t>
      </w:r>
      <w:r w:rsidR="008D47F1">
        <w:t>?</w:t>
      </w:r>
    </w:p>
    <w:p w14:paraId="171EB320" w14:textId="77777777" w:rsidR="0002602D" w:rsidRDefault="0002602D" w:rsidP="0002602D">
      <w:pPr>
        <w:ind w:left="-15" w:firstLine="0"/>
      </w:pPr>
    </w:p>
    <w:p w14:paraId="7E77D3C1" w14:textId="1959AD60" w:rsidR="00C71822" w:rsidRDefault="008D47F1" w:rsidP="0002602D">
      <w:pPr>
        <w:pStyle w:val="ListParagraph"/>
        <w:numPr>
          <w:ilvl w:val="0"/>
          <w:numId w:val="2"/>
        </w:numPr>
      </w:pPr>
      <w:r>
        <w:t>Wh</w:t>
      </w:r>
      <w:r w:rsidR="00584641">
        <w:t xml:space="preserve">ich </w:t>
      </w:r>
      <w:proofErr w:type="gramStart"/>
      <w:r w:rsidR="00584641">
        <w:t>line item</w:t>
      </w:r>
      <w:proofErr w:type="gramEnd"/>
      <w:r w:rsidR="00584641">
        <w:t xml:space="preserve"> </w:t>
      </w:r>
      <w:r>
        <w:t xml:space="preserve">cost breakouts can I </w:t>
      </w:r>
      <w:r w:rsidR="00667F21">
        <w:t xml:space="preserve">leave out of </w:t>
      </w:r>
      <w:r>
        <w:t>the construction value/estimate</w:t>
      </w:r>
      <w:r w:rsidR="00CF2724">
        <w:t>?</w:t>
      </w:r>
    </w:p>
    <w:p w14:paraId="5603939D" w14:textId="77777777" w:rsidR="00C71822" w:rsidRDefault="00C71822" w:rsidP="00C71822">
      <w:pPr>
        <w:pStyle w:val="ListParagraph"/>
      </w:pPr>
    </w:p>
    <w:p w14:paraId="49CC3DB5" w14:textId="5C76BB56" w:rsidR="00C47393" w:rsidRDefault="00740773">
      <w:pPr>
        <w:spacing w:after="348" w:line="259" w:lineRule="auto"/>
        <w:ind w:left="-5"/>
        <w:rPr>
          <w:b/>
          <w:u w:val="single"/>
        </w:rPr>
      </w:pPr>
      <w:r w:rsidRPr="0069077B">
        <w:rPr>
          <w:rFonts w:ascii="Calibri" w:eastAsia="Calibri" w:hAnsi="Calibri" w:cs="Calibri"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254B88" wp14:editId="62CF8DBA">
                <wp:simplePos x="0" y="0"/>
                <wp:positionH relativeFrom="page">
                  <wp:posOffset>0</wp:posOffset>
                </wp:positionH>
                <wp:positionV relativeFrom="page">
                  <wp:posOffset>9593930</wp:posOffset>
                </wp:positionV>
                <wp:extent cx="7772400" cy="401941"/>
                <wp:effectExtent l="0" t="0" r="0" b="0"/>
                <wp:wrapTopAndBottom/>
                <wp:docPr id="978" name="Group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01941"/>
                          <a:chOff x="0" y="0"/>
                          <a:chExt cx="7772400" cy="40194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081507" cy="4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507" h="401941">
                                <a:moveTo>
                                  <a:pt x="0" y="0"/>
                                </a:moveTo>
                                <a:lnTo>
                                  <a:pt x="4081507" y="0"/>
                                </a:lnTo>
                                <a:lnTo>
                                  <a:pt x="3814110" y="401941"/>
                                </a:lnTo>
                                <a:lnTo>
                                  <a:pt x="0" y="401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3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948349" y="0"/>
                            <a:ext cx="3824051" cy="4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051" h="401941">
                                <a:moveTo>
                                  <a:pt x="254216" y="0"/>
                                </a:moveTo>
                                <a:lnTo>
                                  <a:pt x="3824051" y="0"/>
                                </a:lnTo>
                                <a:lnTo>
                                  <a:pt x="3824051" y="401941"/>
                                </a:lnTo>
                                <a:lnTo>
                                  <a:pt x="0" y="401941"/>
                                </a:lnTo>
                                <a:lnTo>
                                  <a:pt x="25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BE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85800" y="2293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D09F0" w14:textId="77777777" w:rsidR="00C47393" w:rsidRDefault="00740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54B88" id="Group 978" o:spid="_x0000_s1026" style="position:absolute;left:0;text-align:left;margin-left:0;margin-top:755.45pt;width:612pt;height:31.65pt;z-index:251658240;mso-position-horizontal-relative:page;mso-position-vertical-relative:page" coordsize="77724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">
                <v:shape id="Shape 7" o:spid="_x0000_s1027" style="position:absolute;width:40815;height:4019;visibility:visible;mso-wrap-style:square;v-text-anchor:top" coordsize="4081507,40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" path="m,l4081507,,3814110,401941,,401941,,xe" fillcolor="#ed3d31" stroked="f" strokeweight="0">
                  <v:stroke miterlimit="83231f" joinstyle="miter"/>
                  <v:path arrowok="t" textboxrect="0,0,4081507,401941"/>
                </v:shape>
                <v:shape id="Shape 9" o:spid="_x0000_s1028" style="position:absolute;left:39483;width:38241;height:4019;visibility:visible;mso-wrap-style:square;v-text-anchor:top" coordsize="3824051,40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" path="m254216,l3824051,r,401941l,401941,254216,xe" fillcolor="#88bec2" stroked="f" strokeweight="0">
                  <v:stroke miterlimit="83231f" joinstyle="miter"/>
                  <v:path arrowok="t" textboxrect="0,0,3824051,401941"/>
                </v:shape>
                <v:rect id="Rectangle 12" o:spid="_x0000_s1029" style="position:absolute;left:6858;top:22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F7D09F0" w14:textId="77777777" w:rsidR="00C47393" w:rsidRDefault="00740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69077B">
        <w:rPr>
          <w:b/>
          <w:u w:val="single"/>
        </w:rPr>
        <w:t>Answer (from UM System</w:t>
      </w:r>
      <w:r w:rsidR="0069077B" w:rsidRPr="0069077B">
        <w:rPr>
          <w:b/>
          <w:u w:val="single"/>
        </w:rPr>
        <w:t xml:space="preserve"> AHJ</w:t>
      </w:r>
      <w:r w:rsidRPr="0069077B">
        <w:rPr>
          <w:b/>
          <w:u w:val="single"/>
        </w:rPr>
        <w:t xml:space="preserve">): </w:t>
      </w:r>
    </w:p>
    <w:p w14:paraId="450682BB" w14:textId="6722600B" w:rsidR="008D47F1" w:rsidRPr="00AC6E0F" w:rsidRDefault="008D47F1" w:rsidP="00AC6E0F">
      <w:pPr>
        <w:pStyle w:val="ListParagraph"/>
        <w:numPr>
          <w:ilvl w:val="0"/>
          <w:numId w:val="6"/>
        </w:numPr>
        <w:spacing w:after="348" w:line="259" w:lineRule="auto"/>
        <w:rPr>
          <w:b/>
          <w:u w:val="single"/>
        </w:rPr>
      </w:pPr>
      <w:r w:rsidRPr="00AC6E0F">
        <w:rPr>
          <w:bCs/>
        </w:rPr>
        <w:t>Permit fees are to be based on the estimated cost of the work to be performed</w:t>
      </w:r>
      <w:r w:rsidR="007E54C5" w:rsidRPr="00AC6E0F">
        <w:rPr>
          <w:bCs/>
        </w:rPr>
        <w:t>:</w:t>
      </w:r>
      <w:r w:rsidRPr="00AC6E0F">
        <w:rPr>
          <w:bCs/>
        </w:rPr>
        <w:t xml:space="preserve"> </w:t>
      </w:r>
      <w:r w:rsidR="00667F21">
        <w:rPr>
          <w:bCs/>
        </w:rPr>
        <w:t xml:space="preserve">all </w:t>
      </w:r>
      <w:r w:rsidRPr="00AC6E0F">
        <w:rPr>
          <w:bCs/>
        </w:rPr>
        <w:t>labor and materials cost for new construction, a renovation, etc.</w:t>
      </w:r>
      <w:r w:rsidR="00667F21">
        <w:rPr>
          <w:bCs/>
        </w:rPr>
        <w:t xml:space="preserve">, </w:t>
      </w:r>
      <w:r w:rsidRPr="00AC6E0F">
        <w:rPr>
          <w:bCs/>
        </w:rPr>
        <w:t>and shall include all permanently install</w:t>
      </w:r>
      <w:r w:rsidR="007E54C5" w:rsidRPr="00AC6E0F">
        <w:rPr>
          <w:bCs/>
        </w:rPr>
        <w:t>ed</w:t>
      </w:r>
      <w:r w:rsidRPr="00AC6E0F">
        <w:rPr>
          <w:bCs/>
        </w:rPr>
        <w:t xml:space="preserve"> MEP systems</w:t>
      </w:r>
      <w:r w:rsidR="00587F84">
        <w:rPr>
          <w:bCs/>
        </w:rPr>
        <w:t>, sprinkler/fire systems,</w:t>
      </w:r>
      <w:r w:rsidR="007E54C5" w:rsidRPr="00AC6E0F">
        <w:rPr>
          <w:bCs/>
        </w:rPr>
        <w:t xml:space="preserve"> and equipment, per IBC 109.3 and other codes.</w:t>
      </w:r>
      <w:r w:rsidR="00A14C1A">
        <w:rPr>
          <w:bCs/>
        </w:rPr>
        <w:t xml:space="preserve"> </w:t>
      </w:r>
    </w:p>
    <w:p w14:paraId="36AF34A6" w14:textId="66144281" w:rsidR="00883324" w:rsidRDefault="00883324">
      <w:pPr>
        <w:spacing w:after="348" w:line="259" w:lineRule="auto"/>
        <w:ind w:left="-5"/>
        <w:rPr>
          <w:b/>
        </w:rPr>
      </w:pPr>
      <w:r>
        <w:rPr>
          <w:noProof/>
        </w:rPr>
        <w:drawing>
          <wp:inline distT="0" distB="0" distL="0" distR="0" wp14:anchorId="32482FAC" wp14:editId="164D219F">
            <wp:extent cx="8398763" cy="9544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3153" cy="95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FE3DD" w14:textId="49570D35" w:rsidR="00C47393" w:rsidRDefault="007E54C5" w:rsidP="00587F84">
      <w:pPr>
        <w:pStyle w:val="ListParagraph"/>
        <w:numPr>
          <w:ilvl w:val="0"/>
          <w:numId w:val="6"/>
        </w:numPr>
        <w:spacing w:after="0" w:line="259" w:lineRule="auto"/>
      </w:pPr>
      <w:r>
        <w:lastRenderedPageBreak/>
        <w:t>P</w:t>
      </w:r>
      <w:r w:rsidR="00737747">
        <w:t xml:space="preserve">roject Managers </w:t>
      </w:r>
      <w:r>
        <w:t xml:space="preserve">should use the 50%-100% CD estimate of probable </w:t>
      </w:r>
      <w:r w:rsidR="00587F84">
        <w:t xml:space="preserve">construction </w:t>
      </w:r>
      <w:r>
        <w:t xml:space="preserve">cost from the design consultant </w:t>
      </w:r>
      <w:r w:rsidR="00584641">
        <w:t>and remove the portions not associated with the cost of the work as shown below.</w:t>
      </w:r>
    </w:p>
    <w:p w14:paraId="6E64F617" w14:textId="77777777" w:rsidR="00587F84" w:rsidRDefault="00587F84" w:rsidP="00587F84">
      <w:pPr>
        <w:pStyle w:val="ListParagraph"/>
        <w:spacing w:after="0" w:line="259" w:lineRule="auto"/>
        <w:ind w:firstLine="0"/>
      </w:pPr>
    </w:p>
    <w:p w14:paraId="1B767B27" w14:textId="71DE4D46" w:rsidR="007E54C5" w:rsidRPr="00AC6E0F" w:rsidRDefault="00667F21" w:rsidP="00AC6E0F">
      <w:pPr>
        <w:pStyle w:val="ListParagraph"/>
        <w:numPr>
          <w:ilvl w:val="0"/>
          <w:numId w:val="6"/>
        </w:numPr>
        <w:spacing w:after="0" w:line="259" w:lineRule="auto"/>
        <w:rPr>
          <w:u w:val="single"/>
        </w:rPr>
      </w:pPr>
      <w:r>
        <w:rPr>
          <w:u w:val="single"/>
        </w:rPr>
        <w:t xml:space="preserve">Estimated </w:t>
      </w:r>
      <w:r w:rsidR="007E54C5" w:rsidRPr="00AC6E0F">
        <w:rPr>
          <w:u w:val="single"/>
        </w:rPr>
        <w:t xml:space="preserve">cost </w:t>
      </w:r>
      <w:r w:rsidR="006D0D75" w:rsidRPr="00AC6E0F">
        <w:rPr>
          <w:u w:val="single"/>
        </w:rPr>
        <w:t xml:space="preserve">line items that can be omitted </w:t>
      </w:r>
      <w:r w:rsidR="00A14C1A">
        <w:rPr>
          <w:u w:val="single"/>
        </w:rPr>
        <w:t xml:space="preserve">from the consultant’s construction estimate </w:t>
      </w:r>
      <w:r w:rsidR="006D0D75" w:rsidRPr="00AC6E0F">
        <w:rPr>
          <w:u w:val="single"/>
        </w:rPr>
        <w:t>include:</w:t>
      </w:r>
    </w:p>
    <w:p w14:paraId="2912F1CD" w14:textId="3ACB2AC9" w:rsidR="006D0D75" w:rsidRDefault="006D0D75" w:rsidP="006D0D75">
      <w:pPr>
        <w:pStyle w:val="ListParagraph"/>
        <w:numPr>
          <w:ilvl w:val="0"/>
          <w:numId w:val="4"/>
        </w:numPr>
        <w:spacing w:after="0" w:line="259" w:lineRule="auto"/>
      </w:pPr>
      <w:r>
        <w:t>Contractor overhead and profit</w:t>
      </w:r>
      <w:r w:rsidR="00AC6E0F">
        <w:t xml:space="preserve"> (typically 4% - 8%, depending on the size of the project)</w:t>
      </w:r>
    </w:p>
    <w:p w14:paraId="4E379C08" w14:textId="384778FD" w:rsidR="006D0D75" w:rsidRDefault="006D0D75" w:rsidP="006D0D75">
      <w:pPr>
        <w:pStyle w:val="ListParagraph"/>
        <w:numPr>
          <w:ilvl w:val="0"/>
          <w:numId w:val="4"/>
        </w:numPr>
        <w:spacing w:after="0" w:line="259" w:lineRule="auto"/>
      </w:pPr>
      <w:r>
        <w:t>Contractor Bond and Insurance cost estimate</w:t>
      </w:r>
      <w:r w:rsidR="00587F84">
        <w:t xml:space="preserve"> (typically 2%)</w:t>
      </w:r>
    </w:p>
    <w:p w14:paraId="408A27F9" w14:textId="28F957B4" w:rsidR="006D0D75" w:rsidRDefault="00587F84" w:rsidP="006D0D75">
      <w:pPr>
        <w:pStyle w:val="ListParagraph"/>
        <w:numPr>
          <w:ilvl w:val="0"/>
          <w:numId w:val="4"/>
        </w:numPr>
        <w:spacing w:after="0" w:line="259" w:lineRule="auto"/>
      </w:pPr>
      <w:r>
        <w:t xml:space="preserve">Any </w:t>
      </w:r>
      <w:r w:rsidR="006D0D75">
        <w:t>Contractor contingency</w:t>
      </w:r>
    </w:p>
    <w:p w14:paraId="7CF4F40D" w14:textId="7C9A98FC" w:rsidR="006D0D75" w:rsidRDefault="00737747" w:rsidP="006D0D75">
      <w:pPr>
        <w:pStyle w:val="ListParagraph"/>
        <w:numPr>
          <w:ilvl w:val="0"/>
          <w:numId w:val="4"/>
        </w:numPr>
        <w:spacing w:after="0" w:line="259" w:lineRule="auto"/>
      </w:pPr>
      <w:r>
        <w:t xml:space="preserve">Contractor </w:t>
      </w:r>
      <w:r w:rsidR="00814BEB">
        <w:t xml:space="preserve">General </w:t>
      </w:r>
      <w:r>
        <w:t>C</w:t>
      </w:r>
      <w:r w:rsidR="00814BEB">
        <w:t>onditions line items not related to the “work” (re. truck, gas, office trailer, office supplies, etc.)</w:t>
      </w:r>
    </w:p>
    <w:p w14:paraId="51EBEEB6" w14:textId="4191DB8F" w:rsidR="00507E3F" w:rsidRDefault="00507E3F" w:rsidP="006D0D75">
      <w:pPr>
        <w:pStyle w:val="ListParagraph"/>
        <w:numPr>
          <w:ilvl w:val="0"/>
          <w:numId w:val="4"/>
        </w:numPr>
        <w:spacing w:after="0" w:line="259" w:lineRule="auto"/>
      </w:pPr>
      <w:r>
        <w:t xml:space="preserve">Any ACM or other Hazardous Materials abatement scopes of work. </w:t>
      </w:r>
    </w:p>
    <w:p w14:paraId="56E2FEB7" w14:textId="41803D29" w:rsidR="00814BEB" w:rsidRDefault="00814BEB" w:rsidP="00814BEB">
      <w:pPr>
        <w:spacing w:after="0" w:line="259" w:lineRule="auto"/>
      </w:pPr>
    </w:p>
    <w:p w14:paraId="6FB71AFE" w14:textId="1737D85A" w:rsidR="00814BEB" w:rsidRDefault="00814BEB" w:rsidP="00587F84">
      <w:pPr>
        <w:pStyle w:val="ListParagraph"/>
        <w:numPr>
          <w:ilvl w:val="0"/>
          <w:numId w:val="6"/>
        </w:numPr>
        <w:spacing w:after="0" w:line="259" w:lineRule="auto"/>
      </w:pPr>
      <w:r>
        <w:t>If a 3</w:t>
      </w:r>
      <w:r w:rsidRPr="00587F84">
        <w:rPr>
          <w:vertAlign w:val="superscript"/>
        </w:rPr>
        <w:t>rd</w:t>
      </w:r>
      <w:r>
        <w:t xml:space="preserve"> party code consultant agreement is executed </w:t>
      </w:r>
      <w:r w:rsidR="00667F21">
        <w:t xml:space="preserve">prior to </w:t>
      </w:r>
      <w:r>
        <w:t xml:space="preserve">the CD </w:t>
      </w:r>
      <w:r w:rsidR="00737747">
        <w:t xml:space="preserve">design </w:t>
      </w:r>
      <w:r>
        <w:t>phase, include the e</w:t>
      </w:r>
      <w:r w:rsidR="00AC6E0F">
        <w:t>sc</w:t>
      </w:r>
      <w:r>
        <w:t xml:space="preserve">alation </w:t>
      </w:r>
      <w:r w:rsidR="00AC6E0F">
        <w:t>value for “Design Contingency” and “Project Complexity/Phasing Factor” as part of your construction estimate.</w:t>
      </w:r>
    </w:p>
    <w:p w14:paraId="08B5EEC5" w14:textId="69C93C25" w:rsidR="00587F84" w:rsidRDefault="00587F84" w:rsidP="00587F84">
      <w:pPr>
        <w:spacing w:after="0" w:line="259" w:lineRule="auto"/>
      </w:pPr>
    </w:p>
    <w:p w14:paraId="68154822" w14:textId="0DFAD512" w:rsidR="00587F84" w:rsidRDefault="00587F84" w:rsidP="00587F84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If the construction valuation is determined to be underestimated by </w:t>
      </w:r>
      <w:r w:rsidR="00667F21">
        <w:t>a</w:t>
      </w:r>
      <w:r>
        <w:t xml:space="preserve"> 3</w:t>
      </w:r>
      <w:r w:rsidRPr="00587F84">
        <w:rPr>
          <w:vertAlign w:val="superscript"/>
        </w:rPr>
        <w:t>rd</w:t>
      </w:r>
      <w:r>
        <w:t xml:space="preserve"> party code consultant or </w:t>
      </w:r>
      <w:r w:rsidR="00737747">
        <w:t xml:space="preserve">the </w:t>
      </w:r>
      <w:r>
        <w:t xml:space="preserve">AHJ, cost break out details will be requested for review. </w:t>
      </w:r>
      <w:r w:rsidR="00737747">
        <w:t>In these cases, final valuation will be determined by the AHJ, per IBC 109.3.</w:t>
      </w:r>
    </w:p>
    <w:p w14:paraId="038B18F3" w14:textId="77777777" w:rsidR="00A14C1A" w:rsidRDefault="00A14C1A" w:rsidP="00A14C1A">
      <w:pPr>
        <w:pStyle w:val="ListParagraph"/>
      </w:pPr>
    </w:p>
    <w:p w14:paraId="1CFBD0EF" w14:textId="55F3B795" w:rsidR="00A14C1A" w:rsidRDefault="00A14C1A" w:rsidP="00A14C1A">
      <w:pPr>
        <w:spacing w:after="0" w:line="259" w:lineRule="auto"/>
        <w:ind w:left="12250"/>
      </w:pPr>
    </w:p>
    <w:p w14:paraId="41D6B510" w14:textId="64ECF616" w:rsidR="00AC6E0F" w:rsidRDefault="00AC6E0F" w:rsidP="00814BEB">
      <w:pPr>
        <w:spacing w:after="0" w:line="259" w:lineRule="auto"/>
      </w:pPr>
    </w:p>
    <w:p w14:paraId="71A98A92" w14:textId="77777777" w:rsidR="00AC6E0F" w:rsidRDefault="00AC6E0F" w:rsidP="00814BEB">
      <w:pPr>
        <w:spacing w:after="0" w:line="259" w:lineRule="auto"/>
      </w:pPr>
    </w:p>
    <w:sectPr w:rsidR="00AC6E0F" w:rsidSect="00883324">
      <w:pgSz w:w="15840" w:h="12240" w:orient="landscape"/>
      <w:pgMar w:top="1080" w:right="1440" w:bottom="112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C9C"/>
    <w:multiLevelType w:val="hybridMultilevel"/>
    <w:tmpl w:val="DA6CDC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A541F"/>
    <w:multiLevelType w:val="hybridMultilevel"/>
    <w:tmpl w:val="37FC2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47F71"/>
    <w:multiLevelType w:val="hybridMultilevel"/>
    <w:tmpl w:val="3C3A06D0"/>
    <w:lvl w:ilvl="0" w:tplc="CCB822BE">
      <w:start w:val="1"/>
      <w:numFmt w:val="upperLetter"/>
      <w:lvlText w:val="%1&gt;"/>
      <w:lvlJc w:val="left"/>
      <w:pPr>
        <w:ind w:left="34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5284DA2"/>
    <w:multiLevelType w:val="hybridMultilevel"/>
    <w:tmpl w:val="EADA64D4"/>
    <w:lvl w:ilvl="0" w:tplc="974843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2F4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2B9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09D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ED9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0C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E72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C8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2F6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C62D3D"/>
    <w:multiLevelType w:val="hybridMultilevel"/>
    <w:tmpl w:val="50A059DA"/>
    <w:lvl w:ilvl="0" w:tplc="C4AA296A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8A445D1"/>
    <w:multiLevelType w:val="hybridMultilevel"/>
    <w:tmpl w:val="CA86F6FC"/>
    <w:lvl w:ilvl="0" w:tplc="E65AB7C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93"/>
    <w:rsid w:val="0002602D"/>
    <w:rsid w:val="0034372C"/>
    <w:rsid w:val="00373A8E"/>
    <w:rsid w:val="00507E3F"/>
    <w:rsid w:val="00584641"/>
    <w:rsid w:val="00587F84"/>
    <w:rsid w:val="00667F21"/>
    <w:rsid w:val="0069077B"/>
    <w:rsid w:val="006A097B"/>
    <w:rsid w:val="006D0D75"/>
    <w:rsid w:val="00737747"/>
    <w:rsid w:val="00740773"/>
    <w:rsid w:val="007E54C5"/>
    <w:rsid w:val="00814BEB"/>
    <w:rsid w:val="00832355"/>
    <w:rsid w:val="00844AAF"/>
    <w:rsid w:val="00883324"/>
    <w:rsid w:val="008D47F1"/>
    <w:rsid w:val="00991710"/>
    <w:rsid w:val="00A14C1A"/>
    <w:rsid w:val="00AC6E0F"/>
    <w:rsid w:val="00B85308"/>
    <w:rsid w:val="00C47393"/>
    <w:rsid w:val="00C71822"/>
    <w:rsid w:val="00CC275A"/>
    <w:rsid w:val="00CF2724"/>
    <w:rsid w:val="00D115E8"/>
    <w:rsid w:val="00E5709D"/>
    <w:rsid w:val="00EB533A"/>
    <w:rsid w:val="00E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9F49"/>
  <w15:docId w15:val="{39DCB6FA-32EF-44EC-9FA8-E99F6057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D6F99-159C-4007-8080-A20564DB738F}"/>
</file>

<file path=customXml/itemProps2.xml><?xml version="1.0" encoding="utf-8"?>
<ds:datastoreItem xmlns:ds="http://schemas.openxmlformats.org/officeDocument/2006/customXml" ds:itemID="{840FD2FF-5197-4718-9104-8371ECBF67B1}"/>
</file>

<file path=customXml/itemProps3.xml><?xml version="1.0" encoding="utf-8"?>
<ds:datastoreItem xmlns:ds="http://schemas.openxmlformats.org/officeDocument/2006/customXml" ds:itemID="{0922BAB9-0268-4C0C-AE32-21A2A2AD3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Kmetz</dc:creator>
  <cp:keywords/>
  <cp:lastModifiedBy>Haynes, Dennis J.</cp:lastModifiedBy>
  <cp:revision>14</cp:revision>
  <dcterms:created xsi:type="dcterms:W3CDTF">2021-07-30T15:34:00Z</dcterms:created>
  <dcterms:modified xsi:type="dcterms:W3CDTF">2022-04-01T19:53:00Z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