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10D08" w14:textId="77777777" w:rsidR="00C47393" w:rsidRDefault="00740773">
      <w:pPr>
        <w:spacing w:after="0" w:line="259" w:lineRule="auto"/>
        <w:ind w:left="0" w:firstLine="0"/>
      </w:pPr>
      <w:r>
        <w:rPr>
          <w:b/>
          <w:sz w:val="56"/>
        </w:rPr>
        <w:t xml:space="preserve">UM System Code Determination </w:t>
      </w:r>
    </w:p>
    <w:p w14:paraId="580DBBB4" w14:textId="77777777" w:rsidR="00C47393" w:rsidRDefault="00740773">
      <w:pPr>
        <w:spacing w:after="105" w:line="259" w:lineRule="auto"/>
        <w:ind w:left="0" w:firstLine="0"/>
      </w:pPr>
      <w:r>
        <w:t xml:space="preserve"> </w:t>
      </w:r>
    </w:p>
    <w:p w14:paraId="21E6D364" w14:textId="77777777" w:rsidR="00C47393" w:rsidRDefault="00740773">
      <w:pPr>
        <w:tabs>
          <w:tab w:val="center" w:pos="3724"/>
        </w:tabs>
        <w:ind w:left="-15" w:firstLine="0"/>
      </w:pPr>
      <w:r>
        <w:t xml:space="preserve">Code Determination Number:  </w:t>
      </w:r>
      <w:r>
        <w:tab/>
        <w:t xml:space="preserve">06 </w:t>
      </w:r>
    </w:p>
    <w:p w14:paraId="2F48657E" w14:textId="77777777" w:rsidR="00C47393" w:rsidRDefault="00740773">
      <w:pPr>
        <w:tabs>
          <w:tab w:val="center" w:pos="1440"/>
          <w:tab w:val="center" w:pos="2160"/>
          <w:tab w:val="center" w:pos="2881"/>
          <w:tab w:val="center" w:pos="4306"/>
        </w:tabs>
        <w:ind w:left="-15" w:firstLine="0"/>
      </w:pPr>
      <w:r>
        <w:t xml:space="preserve">Date:  </w:t>
      </w:r>
      <w:r>
        <w:tab/>
        <w:t xml:space="preserve"> </w:t>
      </w:r>
      <w:r>
        <w:tab/>
        <w:t xml:space="preserve"> </w:t>
      </w:r>
      <w:r>
        <w:tab/>
        <w:t xml:space="preserve"> </w:t>
      </w:r>
      <w:r>
        <w:tab/>
        <w:t xml:space="preserve">March 9, 2021 </w:t>
      </w:r>
    </w:p>
    <w:p w14:paraId="076A552A" w14:textId="77777777" w:rsidR="00C47393" w:rsidRDefault="00740773">
      <w:pPr>
        <w:tabs>
          <w:tab w:val="center" w:pos="2160"/>
          <w:tab w:val="center" w:pos="2881"/>
          <w:tab w:val="center" w:pos="4061"/>
        </w:tabs>
        <w:ind w:left="-15" w:firstLine="0"/>
      </w:pPr>
      <w:r>
        <w:t xml:space="preserve">Code Edition:  </w:t>
      </w:r>
      <w:r>
        <w:tab/>
        <w:t xml:space="preserve"> </w:t>
      </w:r>
      <w:r>
        <w:tab/>
        <w:t xml:space="preserve"> </w:t>
      </w:r>
      <w:r>
        <w:tab/>
        <w:t xml:space="preserve">2018 IBC  </w:t>
      </w:r>
    </w:p>
    <w:p w14:paraId="1551DD30" w14:textId="77777777" w:rsidR="00C47393" w:rsidRDefault="00740773">
      <w:pPr>
        <w:tabs>
          <w:tab w:val="center" w:pos="2160"/>
          <w:tab w:val="center" w:pos="2881"/>
          <w:tab w:val="center" w:pos="4513"/>
        </w:tabs>
        <w:ind w:left="-15" w:firstLine="0"/>
      </w:pPr>
      <w:r>
        <w:t xml:space="preserve">Code Section:  </w:t>
      </w:r>
      <w:r>
        <w:tab/>
        <w:t xml:space="preserve"> </w:t>
      </w:r>
      <w:r>
        <w:tab/>
        <w:t xml:space="preserve"> </w:t>
      </w:r>
      <w:r>
        <w:tab/>
        <w:t xml:space="preserve">202 DEFINITIONS </w:t>
      </w:r>
    </w:p>
    <w:p w14:paraId="009F455F" w14:textId="77777777" w:rsidR="00C47393" w:rsidRDefault="00740773">
      <w:pPr>
        <w:spacing w:after="0"/>
        <w:ind w:left="-5"/>
      </w:pPr>
      <w:r>
        <w:rPr>
          <w:b/>
        </w:rPr>
        <w:t>COMMON USE</w:t>
      </w:r>
      <w:r>
        <w:t xml:space="preserve">. Interior or exterior circulation paths, rooms, spaces or elements that are not for public use and are made available for the shared use of two or more people. </w:t>
      </w:r>
    </w:p>
    <w:p w14:paraId="7934F333" w14:textId="77777777" w:rsidR="00C47393" w:rsidRDefault="00740773">
      <w:pPr>
        <w:spacing w:after="0"/>
        <w:ind w:left="-5"/>
      </w:pPr>
      <w:r>
        <w:rPr>
          <w:b/>
        </w:rPr>
        <w:t>EMPLOYEE WORK AREA</w:t>
      </w:r>
      <w:r>
        <w:t xml:space="preserve">. All or any portion of a space used only by employees and only for work. Corridors, toilet rooms, kitchenettes and break rooms are not employee work areas. </w:t>
      </w:r>
    </w:p>
    <w:p w14:paraId="7F62D360" w14:textId="77777777" w:rsidR="00C47393" w:rsidRDefault="00740773">
      <w:pPr>
        <w:spacing w:line="259" w:lineRule="auto"/>
        <w:ind w:left="0" w:firstLine="0"/>
      </w:pPr>
      <w:r>
        <w:rPr>
          <w:sz w:val="20"/>
        </w:rPr>
        <w:t xml:space="preserve"> </w:t>
      </w:r>
    </w:p>
    <w:p w14:paraId="0D540C2E" w14:textId="77777777" w:rsidR="00C47393" w:rsidRDefault="00740773">
      <w:pPr>
        <w:spacing w:after="348" w:line="259" w:lineRule="auto"/>
        <w:ind w:left="-5"/>
      </w:pPr>
      <w:r>
        <w:rPr>
          <w:b/>
        </w:rPr>
        <w:t xml:space="preserve">Question (from consultant): </w:t>
      </w:r>
    </w:p>
    <w:p w14:paraId="6C63EF64" w14:textId="77777777" w:rsidR="00C47393" w:rsidRDefault="00740773">
      <w:pPr>
        <w:ind w:left="-5"/>
      </w:pPr>
      <w:r>
        <w:t xml:space="preserve">What is the AHJ’s interpretation for what is A-an Employee Work Area, and B-a Common Use space? </w:t>
      </w:r>
    </w:p>
    <w:p w14:paraId="50E3AF63" w14:textId="77777777" w:rsidR="00C47393" w:rsidRDefault="00740773">
      <w:pPr>
        <w:spacing w:after="105" w:line="259" w:lineRule="auto"/>
        <w:ind w:left="0" w:firstLine="0"/>
      </w:pPr>
      <w:r>
        <w:t xml:space="preserve"> </w:t>
      </w:r>
    </w:p>
    <w:p w14:paraId="49CC3DB5" w14:textId="77777777" w:rsidR="00C47393" w:rsidRDefault="00740773">
      <w:pPr>
        <w:spacing w:after="348" w:line="259" w:lineRule="auto"/>
        <w:ind w:left="-5"/>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5254B88" wp14:editId="62CF8DBA">
                <wp:simplePos x="0" y="0"/>
                <wp:positionH relativeFrom="page">
                  <wp:posOffset>0</wp:posOffset>
                </wp:positionH>
                <wp:positionV relativeFrom="page">
                  <wp:posOffset>9593930</wp:posOffset>
                </wp:positionV>
                <wp:extent cx="7772400" cy="401941"/>
                <wp:effectExtent l="0" t="0" r="0" b="0"/>
                <wp:wrapTopAndBottom/>
                <wp:docPr id="978" name="Group 978"/>
                <wp:cNvGraphicFramePr/>
                <a:graphic xmlns:a="http://schemas.openxmlformats.org/drawingml/2006/main">
                  <a:graphicData uri="http://schemas.microsoft.com/office/word/2010/wordprocessingGroup">
                    <wpg:wgp>
                      <wpg:cNvGrpSpPr/>
                      <wpg:grpSpPr>
                        <a:xfrm>
                          <a:off x="0" y="0"/>
                          <a:ext cx="7772400" cy="401941"/>
                          <a:chOff x="0" y="0"/>
                          <a:chExt cx="7772400" cy="401941"/>
                        </a:xfrm>
                      </wpg:grpSpPr>
                      <wps:wsp>
                        <wps:cNvPr id="7" name="Shape 7"/>
                        <wps:cNvSpPr/>
                        <wps:spPr>
                          <a:xfrm>
                            <a:off x="0" y="0"/>
                            <a:ext cx="4081507" cy="401941"/>
                          </a:xfrm>
                          <a:custGeom>
                            <a:avLst/>
                            <a:gdLst/>
                            <a:ahLst/>
                            <a:cxnLst/>
                            <a:rect l="0" t="0" r="0" b="0"/>
                            <a:pathLst>
                              <a:path w="4081507" h="401941">
                                <a:moveTo>
                                  <a:pt x="0" y="0"/>
                                </a:moveTo>
                                <a:lnTo>
                                  <a:pt x="4081507" y="0"/>
                                </a:lnTo>
                                <a:lnTo>
                                  <a:pt x="3814110" y="401941"/>
                                </a:lnTo>
                                <a:lnTo>
                                  <a:pt x="0" y="401941"/>
                                </a:lnTo>
                                <a:lnTo>
                                  <a:pt x="0" y="0"/>
                                </a:lnTo>
                                <a:close/>
                              </a:path>
                            </a:pathLst>
                          </a:custGeom>
                          <a:ln w="0" cap="flat">
                            <a:miter lim="127000"/>
                          </a:ln>
                        </wps:spPr>
                        <wps:style>
                          <a:lnRef idx="0">
                            <a:srgbClr val="000000">
                              <a:alpha val="0"/>
                            </a:srgbClr>
                          </a:lnRef>
                          <a:fillRef idx="1">
                            <a:srgbClr val="ED3D31"/>
                          </a:fillRef>
                          <a:effectRef idx="0">
                            <a:scrgbClr r="0" g="0" b="0"/>
                          </a:effectRef>
                          <a:fontRef idx="none"/>
                        </wps:style>
                        <wps:bodyPr/>
                      </wps:wsp>
                      <wps:wsp>
                        <wps:cNvPr id="9" name="Shape 9"/>
                        <wps:cNvSpPr/>
                        <wps:spPr>
                          <a:xfrm>
                            <a:off x="3948349" y="0"/>
                            <a:ext cx="3824051" cy="401941"/>
                          </a:xfrm>
                          <a:custGeom>
                            <a:avLst/>
                            <a:gdLst/>
                            <a:ahLst/>
                            <a:cxnLst/>
                            <a:rect l="0" t="0" r="0" b="0"/>
                            <a:pathLst>
                              <a:path w="3824051" h="401941">
                                <a:moveTo>
                                  <a:pt x="254216" y="0"/>
                                </a:moveTo>
                                <a:lnTo>
                                  <a:pt x="3824051" y="0"/>
                                </a:lnTo>
                                <a:lnTo>
                                  <a:pt x="3824051" y="401941"/>
                                </a:lnTo>
                                <a:lnTo>
                                  <a:pt x="0" y="401941"/>
                                </a:lnTo>
                                <a:lnTo>
                                  <a:pt x="254216" y="0"/>
                                </a:lnTo>
                                <a:close/>
                              </a:path>
                            </a:pathLst>
                          </a:custGeom>
                          <a:ln w="0" cap="flat">
                            <a:miter lim="127000"/>
                          </a:ln>
                        </wps:spPr>
                        <wps:style>
                          <a:lnRef idx="0">
                            <a:srgbClr val="000000">
                              <a:alpha val="0"/>
                            </a:srgbClr>
                          </a:lnRef>
                          <a:fillRef idx="1">
                            <a:srgbClr val="88BEC2"/>
                          </a:fillRef>
                          <a:effectRef idx="0">
                            <a:scrgbClr r="0" g="0" b="0"/>
                          </a:effectRef>
                          <a:fontRef idx="none"/>
                        </wps:style>
                        <wps:bodyPr/>
                      </wps:wsp>
                      <wps:wsp>
                        <wps:cNvPr id="12" name="Rectangle 12"/>
                        <wps:cNvSpPr/>
                        <wps:spPr>
                          <a:xfrm>
                            <a:off x="685800" y="229377"/>
                            <a:ext cx="51809" cy="207922"/>
                          </a:xfrm>
                          <a:prstGeom prst="rect">
                            <a:avLst/>
                          </a:prstGeom>
                          <a:ln>
                            <a:noFill/>
                          </a:ln>
                        </wps:spPr>
                        <wps:txbx>
                          <w:txbxContent>
                            <w:p w14:paraId="4F7D09F0" w14:textId="77777777" w:rsidR="00C47393" w:rsidRDefault="00740773">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65254B88" id="Group 978" o:spid="_x0000_s1026" style="position:absolute;left:0;text-align:left;margin-left:0;margin-top:755.45pt;width:612pt;height:31.65pt;z-index:251658240;mso-position-horizontal-relative:page;mso-position-vertical-relative:page" coordsize="77724,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">
                <v:shape id="Shape 7" o:spid="_x0000_s1027" style="position:absolute;width:40815;height:4019;visibility:visible;mso-wrap-style:square;v-text-anchor:top" coordsize="4081507,40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" path="m,l4081507,,3814110,401941,,401941,,xe" fillcolor="#ed3d31" stroked="f" strokeweight="0">
                  <v:stroke miterlimit="83231f" joinstyle="miter"/>
                  <v:path arrowok="t" textboxrect="0,0,4081507,401941"/>
                </v:shape>
                <v:shape id="Shape 9" o:spid="_x0000_s1028" style="position:absolute;left:39483;width:38241;height:4019;visibility:visible;mso-wrap-style:square;v-text-anchor:top" coordsize="3824051,40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" path="m254216,l3824051,r,401941l,401941,254216,xe" fillcolor="#88bec2" stroked="f" strokeweight="0">
                  <v:stroke miterlimit="83231f" joinstyle="miter"/>
                  <v:path arrowok="t" textboxrect="0,0,3824051,401941"/>
                </v:shape>
                <v:rect id="Rectangle 12" o:spid="_x0000_s1029" style="position:absolute;left:6858;top:229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F7D09F0" w14:textId="77777777" w:rsidR="00C47393" w:rsidRDefault="00740773">
                        <w:pPr>
                          <w:spacing w:after="160" w:line="259" w:lineRule="auto"/>
                          <w:ind w:left="0" w:firstLine="0"/>
                        </w:pPr>
                        <w:r>
                          <w:t xml:space="preserve"> </w:t>
                        </w:r>
                      </w:p>
                    </w:txbxContent>
                  </v:textbox>
                </v:rect>
                <w10:wrap type="topAndBottom" anchorx="page" anchory="page"/>
              </v:group>
            </w:pict>
          </mc:Fallback>
        </mc:AlternateContent>
      </w:r>
      <w:r>
        <w:rPr>
          <w:b/>
        </w:rPr>
        <w:t xml:space="preserve">Answer (from UM System): </w:t>
      </w:r>
    </w:p>
    <w:p w14:paraId="3B68334D" w14:textId="77777777" w:rsidR="00C47393" w:rsidRDefault="00740773">
      <w:pPr>
        <w:spacing w:after="8" w:line="366" w:lineRule="auto"/>
        <w:ind w:left="-5"/>
      </w:pPr>
      <w:r>
        <w:t xml:space="preserve">FPD’s interpretation is that a common use area is a non-public space where employees would congregate outside of their office - break room, meeting room, conference room, employee lounge area, corridors, and other circulation paths. An office large enough that it may be become or be converted to a “common use” area in the future with only minor alterations is of concern. Therefore, we propose the following: </w:t>
      </w:r>
    </w:p>
    <w:p w14:paraId="2784F60E" w14:textId="77777777" w:rsidR="00C47393" w:rsidRDefault="00740773">
      <w:pPr>
        <w:numPr>
          <w:ilvl w:val="0"/>
          <w:numId w:val="1"/>
        </w:numPr>
        <w:spacing w:after="94"/>
        <w:ind w:hanging="360"/>
      </w:pPr>
      <w:r>
        <w:t xml:space="preserve">Offices up to 300 sf – Employee Work Area (fire alarm visible notification is not required).   </w:t>
      </w:r>
    </w:p>
    <w:p w14:paraId="32E02BD6" w14:textId="77777777" w:rsidR="00C47393" w:rsidRDefault="00740773">
      <w:pPr>
        <w:numPr>
          <w:ilvl w:val="0"/>
          <w:numId w:val="1"/>
        </w:numPr>
        <w:spacing w:after="11" w:line="365" w:lineRule="auto"/>
        <w:ind w:hanging="360"/>
      </w:pPr>
      <w:r>
        <w:t xml:space="preserve">Offices 300 sf and above – Fire alarm visible notification required (even if presently identified as 1 person office). </w:t>
      </w:r>
    </w:p>
    <w:p w14:paraId="5CFE85C9" w14:textId="77777777" w:rsidR="00C47393" w:rsidRDefault="00740773">
      <w:pPr>
        <w:numPr>
          <w:ilvl w:val="0"/>
          <w:numId w:val="1"/>
        </w:numPr>
        <w:spacing w:after="151"/>
        <w:ind w:hanging="360"/>
      </w:pPr>
      <w:r>
        <w:t xml:space="preserve">Open cubicle offices – Fire alarm visible notification required. </w:t>
      </w:r>
    </w:p>
    <w:p w14:paraId="2B5F5014" w14:textId="795BC8CD" w:rsidR="00C47393" w:rsidRDefault="00740773">
      <w:pPr>
        <w:spacing w:after="0" w:line="359" w:lineRule="auto"/>
        <w:ind w:left="-5"/>
      </w:pPr>
      <w:r>
        <w:t xml:space="preserve">Note: Our design guidelines and adopted codes require a </w:t>
      </w:r>
      <w:r>
        <w:rPr>
          <w:b/>
          <w:u w:val="single" w:color="000000"/>
        </w:rPr>
        <w:t>minimum</w:t>
      </w:r>
      <w:r>
        <w:t xml:space="preserve"> of 20% spare capacity. Additional capacity is recommended in space where potential modifications could be frequent or of higher density. This would allow future flexibility for turning offices into common use areas or to cover future </w:t>
      </w:r>
      <w:r w:rsidR="00285C29">
        <w:t>hearing-impaired</w:t>
      </w:r>
      <w:r>
        <w:t xml:space="preserve"> employees as necessary.  </w:t>
      </w:r>
    </w:p>
    <w:p w14:paraId="028FE3DD" w14:textId="77777777" w:rsidR="00C47393" w:rsidRDefault="00740773">
      <w:pPr>
        <w:spacing w:after="0" w:line="259" w:lineRule="auto"/>
        <w:ind w:left="0" w:firstLine="0"/>
      </w:pPr>
      <w:r>
        <w:rPr>
          <w:color w:val="FF0000"/>
        </w:rPr>
        <w:t xml:space="preserve"> </w:t>
      </w:r>
    </w:p>
    <w:sectPr w:rsidR="00C47393">
      <w:pgSz w:w="12240" w:h="15840"/>
      <w:pgMar w:top="1440" w:right="1128"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84DA2"/>
    <w:multiLevelType w:val="hybridMultilevel"/>
    <w:tmpl w:val="EADA64D4"/>
    <w:lvl w:ilvl="0" w:tplc="974843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E2F4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92B9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B09D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0ED9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C0C5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0E72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AC8A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82F6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93"/>
    <w:rsid w:val="00285C29"/>
    <w:rsid w:val="00740773"/>
    <w:rsid w:val="00C4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9F49"/>
  <w15:docId w15:val="{39DCB6FA-32EF-44EC-9FA8-E99F6057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7CD7B-6895-4D8C-9DC3-36CD95C3108D}"/>
</file>

<file path=customXml/itemProps2.xml><?xml version="1.0" encoding="utf-8"?>
<ds:datastoreItem xmlns:ds="http://schemas.openxmlformats.org/officeDocument/2006/customXml" ds:itemID="{29133E60-B8D3-4FDF-9A38-123B2818235F}"/>
</file>

<file path=customXml/itemProps3.xml><?xml version="1.0" encoding="utf-8"?>
<ds:datastoreItem xmlns:ds="http://schemas.openxmlformats.org/officeDocument/2006/customXml" ds:itemID="{7305CE1C-0A07-4954-A5EA-73E54DECCBCC}"/>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Kmetz</dc:creator>
  <cp:keywords/>
  <cp:lastModifiedBy>Moore, Vickie M.</cp:lastModifiedBy>
  <cp:revision>4</cp:revision>
  <dcterms:created xsi:type="dcterms:W3CDTF">2021-03-10T14:51:00Z</dcterms:created>
  <dcterms:modified xsi:type="dcterms:W3CDTF">2021-03-10T14:58:00Z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ies>
</file>