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0CFB2" w14:textId="13DF879D" w:rsidR="000A080F" w:rsidRPr="00E35CC7" w:rsidRDefault="00BC4A7C" w:rsidP="0056303B">
      <w:pPr>
        <w:ind w:right="900"/>
        <w:rPr>
          <w:rFonts w:cs="Arial"/>
          <w:noProof/>
          <w:szCs w:val="22"/>
        </w:rPr>
      </w:pPr>
      <w:r w:rsidRPr="00E35CC7">
        <w:softHyphen/>
      </w:r>
      <w:r w:rsidRPr="00E35CC7">
        <w:softHyphen/>
      </w:r>
    </w:p>
    <w:p w14:paraId="338CA785" w14:textId="46547721" w:rsidR="000A080F" w:rsidRPr="00E35CC7" w:rsidRDefault="004B4E22" w:rsidP="000A080F">
      <w:pPr>
        <w:tabs>
          <w:tab w:val="left" w:pos="900"/>
        </w:tabs>
        <w:rPr>
          <w:rFonts w:cs="Arial"/>
          <w:szCs w:val="22"/>
        </w:rPr>
      </w:pPr>
      <w:r w:rsidRPr="00E35CC7">
        <w:rPr>
          <w:rFonts w:cs="Arial"/>
          <w:noProof/>
          <w:szCs w:val="22"/>
        </w:rPr>
        <w:t>Code Determination Number</w:t>
      </w:r>
      <w:r w:rsidR="000A080F" w:rsidRPr="00E35CC7">
        <w:rPr>
          <w:rFonts w:cs="Arial"/>
          <w:noProof/>
          <w:szCs w:val="22"/>
        </w:rPr>
        <w:t>:</w:t>
      </w:r>
      <w:r w:rsidR="000A080F" w:rsidRPr="00E35CC7">
        <w:rPr>
          <w:rFonts w:cs="Arial"/>
          <w:noProof/>
          <w:szCs w:val="22"/>
        </w:rPr>
        <w:tab/>
      </w:r>
      <w:r w:rsidR="000A080F" w:rsidRPr="00E35CC7">
        <w:rPr>
          <w:rFonts w:cs="Arial"/>
          <w:noProof/>
          <w:szCs w:val="22"/>
        </w:rPr>
        <w:tab/>
      </w:r>
      <w:r w:rsidRPr="00E35CC7">
        <w:rPr>
          <w:rFonts w:cs="Arial"/>
          <w:noProof/>
          <w:szCs w:val="22"/>
        </w:rPr>
        <w:t>0</w:t>
      </w:r>
      <w:r w:rsidR="00D63885">
        <w:rPr>
          <w:rFonts w:cs="Arial"/>
          <w:noProof/>
          <w:szCs w:val="22"/>
        </w:rPr>
        <w:t>5</w:t>
      </w:r>
    </w:p>
    <w:p w14:paraId="7DBB9FB7" w14:textId="58156369" w:rsidR="004B4E22" w:rsidRPr="00E35CC7" w:rsidRDefault="000A080F" w:rsidP="000A080F">
      <w:pPr>
        <w:rPr>
          <w:rFonts w:cs="Arial"/>
          <w:szCs w:val="22"/>
        </w:rPr>
      </w:pPr>
      <w:r w:rsidRPr="00E35CC7">
        <w:rPr>
          <w:rFonts w:cs="Arial"/>
          <w:noProof/>
          <w:szCs w:val="22"/>
        </w:rPr>
        <w:t>Date:</w:t>
      </w:r>
      <w:r w:rsidRPr="00E35CC7">
        <w:rPr>
          <w:rFonts w:cs="Arial"/>
          <w:noProof/>
          <w:szCs w:val="22"/>
        </w:rPr>
        <w:tab/>
      </w:r>
      <w:bookmarkStart w:id="0" w:name="Text2"/>
      <w:r w:rsidRPr="00E35CC7">
        <w:rPr>
          <w:rFonts w:cs="Arial"/>
          <w:noProof/>
          <w:szCs w:val="22"/>
        </w:rPr>
        <w:tab/>
      </w:r>
      <w:bookmarkStart w:id="1" w:name="Text7"/>
      <w:bookmarkEnd w:id="0"/>
      <w:r w:rsidR="004B4E22" w:rsidRPr="00E35CC7">
        <w:rPr>
          <w:rFonts w:cs="Arial"/>
          <w:noProof/>
          <w:szCs w:val="22"/>
        </w:rPr>
        <w:tab/>
      </w:r>
      <w:r w:rsidR="004B4E22" w:rsidRPr="00E35CC7">
        <w:rPr>
          <w:rFonts w:cs="Arial"/>
          <w:noProof/>
          <w:szCs w:val="22"/>
        </w:rPr>
        <w:tab/>
      </w:r>
      <w:r w:rsidR="004B4E22" w:rsidRPr="00E35CC7">
        <w:rPr>
          <w:rFonts w:cs="Arial"/>
          <w:noProof/>
          <w:szCs w:val="22"/>
        </w:rPr>
        <w:tab/>
      </w:r>
      <w:bookmarkEnd w:id="1"/>
      <w:r w:rsidR="00D63885">
        <w:rPr>
          <w:rFonts w:cs="Arial"/>
          <w:szCs w:val="22"/>
        </w:rPr>
        <w:t>August 21</w:t>
      </w:r>
      <w:r w:rsidR="004B4E22" w:rsidRPr="00E35CC7">
        <w:rPr>
          <w:rFonts w:cs="Arial"/>
          <w:szCs w:val="22"/>
        </w:rPr>
        <w:t>, 2020</w:t>
      </w:r>
    </w:p>
    <w:p w14:paraId="54856A85" w14:textId="15766B93" w:rsidR="004B4E22" w:rsidRPr="00E35CC7" w:rsidRDefault="004B4E22" w:rsidP="000A080F">
      <w:pPr>
        <w:rPr>
          <w:rFonts w:cs="Arial"/>
          <w:szCs w:val="22"/>
        </w:rPr>
      </w:pPr>
      <w:r w:rsidRPr="00E35CC7">
        <w:rPr>
          <w:rFonts w:cs="Arial"/>
          <w:szCs w:val="22"/>
        </w:rPr>
        <w:t>Code Edition:</w:t>
      </w:r>
      <w:r w:rsidRPr="00E35CC7">
        <w:rPr>
          <w:rFonts w:cs="Arial"/>
          <w:szCs w:val="22"/>
        </w:rPr>
        <w:tab/>
      </w:r>
      <w:r w:rsidRPr="00E35CC7">
        <w:rPr>
          <w:rFonts w:cs="Arial"/>
          <w:szCs w:val="22"/>
        </w:rPr>
        <w:tab/>
      </w:r>
      <w:r w:rsidRPr="00E35CC7">
        <w:rPr>
          <w:rFonts w:cs="Arial"/>
          <w:szCs w:val="22"/>
        </w:rPr>
        <w:tab/>
      </w:r>
      <w:r w:rsidRPr="00E35CC7">
        <w:rPr>
          <w:rFonts w:cs="Arial"/>
          <w:szCs w:val="22"/>
        </w:rPr>
        <w:tab/>
      </w:r>
      <w:r w:rsidR="00575A90">
        <w:rPr>
          <w:rFonts w:cs="Arial"/>
          <w:szCs w:val="22"/>
        </w:rPr>
        <w:t>2018 IBC</w:t>
      </w:r>
      <w:r w:rsidRPr="00E35CC7">
        <w:rPr>
          <w:rFonts w:cs="Arial"/>
          <w:szCs w:val="22"/>
        </w:rPr>
        <w:t xml:space="preserve"> </w:t>
      </w:r>
    </w:p>
    <w:p w14:paraId="0D33DB3F" w14:textId="7646D137" w:rsidR="004B4E22" w:rsidRDefault="004B4E22" w:rsidP="000A080F">
      <w:r w:rsidRPr="00E35CC7">
        <w:rPr>
          <w:rFonts w:cs="Arial"/>
          <w:szCs w:val="22"/>
        </w:rPr>
        <w:t>Code Section:</w:t>
      </w:r>
      <w:r w:rsidRPr="00E35CC7">
        <w:rPr>
          <w:rFonts w:cs="Arial"/>
          <w:szCs w:val="22"/>
        </w:rPr>
        <w:tab/>
      </w:r>
      <w:r w:rsidRPr="00E35CC7">
        <w:rPr>
          <w:rFonts w:cs="Arial"/>
          <w:szCs w:val="22"/>
        </w:rPr>
        <w:tab/>
      </w:r>
      <w:r w:rsidRPr="00E35CC7">
        <w:rPr>
          <w:rFonts w:cs="Arial"/>
          <w:szCs w:val="22"/>
        </w:rPr>
        <w:tab/>
      </w:r>
      <w:r w:rsidRPr="00E35CC7">
        <w:rPr>
          <w:rFonts w:cs="Arial"/>
          <w:szCs w:val="22"/>
        </w:rPr>
        <w:tab/>
      </w:r>
      <w:r w:rsidR="00575A90">
        <w:t>1</w:t>
      </w:r>
      <w:r w:rsidR="00D63885">
        <w:t>08.3</w:t>
      </w:r>
      <w:r w:rsidR="00575A90">
        <w:t xml:space="preserve"> Temporary </w:t>
      </w:r>
      <w:r w:rsidR="00D63885">
        <w:t>Power</w:t>
      </w:r>
    </w:p>
    <w:p w14:paraId="1380C012" w14:textId="6797A779" w:rsidR="00575A90" w:rsidRPr="00E35CC7" w:rsidRDefault="00D63885" w:rsidP="000A080F">
      <w:pPr>
        <w:rPr>
          <w:rFonts w:cs="Arial"/>
          <w:szCs w:val="22"/>
        </w:rPr>
      </w:pPr>
      <w:r w:rsidRPr="00D63885">
        <w:rPr>
          <w:rFonts w:cs="Arial"/>
          <w:noProof/>
          <w:szCs w:val="22"/>
        </w:rPr>
        <w:drawing>
          <wp:inline distT="0" distB="0" distL="0" distR="0" wp14:anchorId="104B9486" wp14:editId="3AB5B2C3">
            <wp:extent cx="6400800" cy="1037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1037590"/>
                    </a:xfrm>
                    <a:prstGeom prst="rect">
                      <a:avLst/>
                    </a:prstGeom>
                  </pic:spPr>
                </pic:pic>
              </a:graphicData>
            </a:graphic>
          </wp:inline>
        </w:drawing>
      </w:r>
    </w:p>
    <w:p w14:paraId="65ADB3E2" w14:textId="2855EC1D" w:rsidR="000A080F" w:rsidRPr="00E35CC7" w:rsidRDefault="0023727D" w:rsidP="0023727D">
      <w:pPr>
        <w:pStyle w:val="Heading1"/>
      </w:pPr>
      <w:bookmarkStart w:id="2" w:name="_Hlk38369830"/>
      <w:r w:rsidRPr="00E35CC7">
        <w:t>Question</w:t>
      </w:r>
      <w:r w:rsidR="00E35CC7">
        <w:t xml:space="preserve"> (from GBA)</w:t>
      </w:r>
      <w:r w:rsidRPr="00E35CC7">
        <w:t>:</w:t>
      </w:r>
    </w:p>
    <w:bookmarkEnd w:id="2"/>
    <w:p w14:paraId="4C25D0A4" w14:textId="0A5A01FA" w:rsidR="0023727D" w:rsidRPr="00E35CC7" w:rsidRDefault="00D63885" w:rsidP="0023727D">
      <w:r>
        <w:t>What is the approval procedure for a contractor to obtain approval for temporary power for a project? What types of temporary power installations require a design from the Registered Design Professional in Responsible Charge? What are the duties of the plan reviewer as well as the duties for the code inspector?</w:t>
      </w:r>
    </w:p>
    <w:p w14:paraId="1EDEE497" w14:textId="0F874A24" w:rsidR="0023727D" w:rsidRDefault="0023727D" w:rsidP="0023727D">
      <w:pPr>
        <w:pStyle w:val="Heading1"/>
        <w:rPr>
          <w:rStyle w:val="Strong"/>
          <w:b/>
          <w:bCs w:val="0"/>
        </w:rPr>
      </w:pPr>
      <w:bookmarkStart w:id="3" w:name="_Hlk38369834"/>
      <w:r w:rsidRPr="00E35CC7">
        <w:rPr>
          <w:rStyle w:val="Strong"/>
          <w:b/>
          <w:bCs w:val="0"/>
        </w:rPr>
        <w:t>Answer</w:t>
      </w:r>
      <w:r w:rsidR="00E35CC7">
        <w:rPr>
          <w:rStyle w:val="Strong"/>
          <w:b/>
          <w:bCs w:val="0"/>
        </w:rPr>
        <w:t xml:space="preserve"> (from UM System)</w:t>
      </w:r>
      <w:r w:rsidRPr="00E35CC7">
        <w:rPr>
          <w:rStyle w:val="Strong"/>
          <w:b/>
          <w:bCs w:val="0"/>
        </w:rPr>
        <w:t>:</w:t>
      </w:r>
    </w:p>
    <w:p w14:paraId="0EB5D3FB" w14:textId="02325192" w:rsidR="00C93153" w:rsidRPr="008A0A72" w:rsidRDefault="00C93153" w:rsidP="00C93153">
      <w:pPr>
        <w:pStyle w:val="ListParagraph"/>
        <w:numPr>
          <w:ilvl w:val="0"/>
          <w:numId w:val="6"/>
        </w:numPr>
      </w:pPr>
      <w:r w:rsidRPr="008A0A72">
        <w:t xml:space="preserve">Temporary power used for construction site trailer(s) and/or </w:t>
      </w:r>
      <w:r w:rsidR="00B870AD" w:rsidRPr="008A0A72">
        <w:t xml:space="preserve">temporary </w:t>
      </w:r>
      <w:r w:rsidRPr="008A0A72">
        <w:t xml:space="preserve">pole mounted construction power services should be identified on the project drawings during design. Engineered details for temporary power feeds are not required, unless ratings exceed 200 amps. </w:t>
      </w:r>
      <w:r w:rsidR="00B870AD" w:rsidRPr="008A0A72">
        <w:t>During inspection: a</w:t>
      </w:r>
      <w:r w:rsidRPr="008A0A72">
        <w:t xml:space="preserve">ll grounding, </w:t>
      </w:r>
      <w:r w:rsidR="00B870AD" w:rsidRPr="008A0A72">
        <w:t xml:space="preserve">conductor sizing, </w:t>
      </w:r>
      <w:r w:rsidRPr="008A0A72">
        <w:t>weather protection, equipment environmental ratings</w:t>
      </w:r>
      <w:r w:rsidR="00B870AD" w:rsidRPr="008A0A72">
        <w:t>, etc.,</w:t>
      </w:r>
      <w:r w:rsidRPr="008A0A72">
        <w:t xml:space="preserve"> shall apply per NFPA 70.</w:t>
      </w:r>
    </w:p>
    <w:p w14:paraId="5433EE0A" w14:textId="22F9A3FF" w:rsidR="00C93153" w:rsidRPr="008A0A72" w:rsidRDefault="00C93153" w:rsidP="00C93153">
      <w:pPr>
        <w:pStyle w:val="ListParagraph"/>
        <w:numPr>
          <w:ilvl w:val="0"/>
          <w:numId w:val="6"/>
        </w:numPr>
      </w:pPr>
      <w:r w:rsidRPr="008A0A72">
        <w:t>Temporary use of installed interior circuits for general lighting and construction power (mobile power panels) are allowed and shall meet the requirements of NFPA 70, article 590 TEMPORARY INSTALLATIONS. Power feeds of this natural shall also be limited to 200 amps, unless engineered.</w:t>
      </w:r>
    </w:p>
    <w:p w14:paraId="5E153A5D" w14:textId="274209CB" w:rsidR="00C93153" w:rsidRPr="008A0A72" w:rsidRDefault="00B870AD" w:rsidP="00C93153">
      <w:pPr>
        <w:pStyle w:val="ListParagraph"/>
        <w:numPr>
          <w:ilvl w:val="0"/>
          <w:numId w:val="6"/>
        </w:numPr>
      </w:pPr>
      <w:r w:rsidRPr="008A0A72">
        <w:t>Temporary installations where t</w:t>
      </w:r>
      <w:r w:rsidR="00C93153" w:rsidRPr="008A0A72">
        <w:t xml:space="preserve">ransformer feeders bypass the installed service </w:t>
      </w:r>
      <w:r w:rsidRPr="008A0A72">
        <w:t xml:space="preserve">entrance equipment and are mated to temporary service gear, shall be engineered. The goal is to fully commission the feeders, service entrance equipment and associated sub panels prior to their operational use, whether on a temporary or permanent basis. </w:t>
      </w:r>
      <w:r w:rsidR="008A0A72" w:rsidRPr="008A0A72">
        <w:rPr>
          <w:u w:val="single"/>
        </w:rPr>
        <w:t>Other:</w:t>
      </w:r>
      <w:r w:rsidRPr="008A0A72">
        <w:t xml:space="preserve"> temporary use of panels and circuits should not impact the warranty start date of this equipment. Temporary breakers are commonly used for construction work, then new breakers are installed when ‘construction’ is complete.</w:t>
      </w:r>
    </w:p>
    <w:bookmarkEnd w:id="3"/>
    <w:p w14:paraId="5C33E8CC" w14:textId="59998EA1" w:rsidR="00E35CC7" w:rsidRPr="00B870AD" w:rsidRDefault="00E35CC7" w:rsidP="00D63885">
      <w:pPr>
        <w:spacing w:line="276" w:lineRule="auto"/>
        <w:rPr>
          <w:color w:val="FF0000"/>
        </w:rPr>
      </w:pPr>
    </w:p>
    <w:sectPr w:rsidR="00E35CC7" w:rsidRPr="00B870AD" w:rsidSect="001D7C8A">
      <w:headerReference w:type="default" r:id="rId9"/>
      <w:footerReference w:type="default" r:id="rId10"/>
      <w:headerReference w:type="first" r:id="rId11"/>
      <w:footerReference w:type="first" r:id="rId12"/>
      <w:pgSz w:w="12240" w:h="15840"/>
      <w:pgMar w:top="1440" w:right="1080" w:bottom="1080" w:left="1080" w:header="711"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2CA91" w14:textId="77777777" w:rsidR="00CB00E3" w:rsidRDefault="00CB00E3" w:rsidP="00BC4A7C">
      <w:r>
        <w:separator/>
      </w:r>
    </w:p>
  </w:endnote>
  <w:endnote w:type="continuationSeparator" w:id="0">
    <w:p w14:paraId="3248010D" w14:textId="77777777" w:rsidR="00CB00E3" w:rsidRDefault="00CB00E3" w:rsidP="00BC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2BD24" w14:textId="77777777" w:rsidR="00BC4A7C" w:rsidRPr="00176FA9" w:rsidRDefault="00DC5848" w:rsidP="00DC5848">
    <w:pPr>
      <w:pStyle w:val="Footer"/>
      <w:tabs>
        <w:tab w:val="clear" w:pos="4680"/>
        <w:tab w:val="clear" w:pos="9360"/>
        <w:tab w:val="right" w:pos="9180"/>
      </w:tabs>
      <w:ind w:left="-1350" w:right="-1260"/>
    </w:pPr>
    <w:r w:rsidRPr="00DC5848">
      <w:rPr>
        <w:noProof/>
      </w:rPr>
      <w:drawing>
        <wp:anchor distT="0" distB="0" distL="114300" distR="114300" simplePos="0" relativeHeight="251660288" behindDoc="1" locked="0" layoutInCell="1" allowOverlap="1" wp14:anchorId="2E3D64F3" wp14:editId="04569A38">
          <wp:simplePos x="0" y="0"/>
          <wp:positionH relativeFrom="column">
            <wp:posOffset>-857250</wp:posOffset>
          </wp:positionH>
          <wp:positionV relativeFrom="paragraph">
            <wp:posOffset>-151696</wp:posOffset>
          </wp:positionV>
          <wp:extent cx="8001000" cy="402336"/>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01000" cy="40233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0D7B" w14:textId="77777777" w:rsidR="00657A0E" w:rsidRDefault="00657A0E">
    <w:pPr>
      <w:pStyle w:val="Footer"/>
    </w:pPr>
    <w:r w:rsidRPr="00DC5848">
      <w:rPr>
        <w:noProof/>
      </w:rPr>
      <w:drawing>
        <wp:anchor distT="0" distB="0" distL="114300" distR="114300" simplePos="0" relativeHeight="251665408" behindDoc="1" locked="0" layoutInCell="1" allowOverlap="1" wp14:anchorId="66D02228" wp14:editId="59BB4780">
          <wp:simplePos x="0" y="0"/>
          <wp:positionH relativeFrom="page">
            <wp:posOffset>-114300</wp:posOffset>
          </wp:positionH>
          <wp:positionV relativeFrom="paragraph">
            <wp:posOffset>-223520</wp:posOffset>
          </wp:positionV>
          <wp:extent cx="8001000" cy="40233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01000" cy="4023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3636C" w14:textId="77777777" w:rsidR="00CB00E3" w:rsidRDefault="00CB00E3" w:rsidP="00BC4A7C">
      <w:r>
        <w:separator/>
      </w:r>
    </w:p>
  </w:footnote>
  <w:footnote w:type="continuationSeparator" w:id="0">
    <w:p w14:paraId="4CA62C27" w14:textId="77777777" w:rsidR="00CB00E3" w:rsidRDefault="00CB00E3" w:rsidP="00BC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332CB" w14:textId="626AE4F6" w:rsidR="00BC4A7C" w:rsidRDefault="009A2C83" w:rsidP="00BC4A7C">
    <w:pPr>
      <w:pStyle w:val="Header"/>
      <w:ind w:left="-45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CD3F8" w14:textId="7EC40B25" w:rsidR="00657A0E" w:rsidRPr="0056303B" w:rsidRDefault="0056303B">
    <w:pPr>
      <w:pStyle w:val="Header"/>
      <w:rPr>
        <w:b/>
        <w:bCs/>
        <w:sz w:val="56"/>
        <w:szCs w:val="72"/>
      </w:rPr>
    </w:pPr>
    <w:r w:rsidRPr="000C7406">
      <w:rPr>
        <w:b/>
        <w:bCs/>
        <w:sz w:val="56"/>
        <w:szCs w:val="72"/>
      </w:rPr>
      <w:t>UM System Code Determination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8670F"/>
    <w:multiLevelType w:val="hybridMultilevel"/>
    <w:tmpl w:val="05A4BB82"/>
    <w:lvl w:ilvl="0" w:tplc="EFD0BD64">
      <w:start w:val="1"/>
      <w:numFmt w:val="decimal"/>
      <w:lvlText w:val="%1."/>
      <w:lvlJc w:val="left"/>
      <w:pPr>
        <w:ind w:left="720" w:hanging="360"/>
      </w:pPr>
      <w:rPr>
        <w:rFonts w:ascii="Arial" w:eastAsia="Times New Roman"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4929B6"/>
    <w:multiLevelType w:val="hybridMultilevel"/>
    <w:tmpl w:val="20F6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82C8D"/>
    <w:multiLevelType w:val="hybridMultilevel"/>
    <w:tmpl w:val="C7ACB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306760"/>
    <w:multiLevelType w:val="hybridMultilevel"/>
    <w:tmpl w:val="C2F23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1F76254"/>
    <w:multiLevelType w:val="hybridMultilevel"/>
    <w:tmpl w:val="FC6AFD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7C"/>
    <w:rsid w:val="00004790"/>
    <w:rsid w:val="000A080F"/>
    <w:rsid w:val="001310A8"/>
    <w:rsid w:val="00175392"/>
    <w:rsid w:val="00176FA9"/>
    <w:rsid w:val="00193BE0"/>
    <w:rsid w:val="001943C3"/>
    <w:rsid w:val="001D7C8A"/>
    <w:rsid w:val="0023727D"/>
    <w:rsid w:val="00262602"/>
    <w:rsid w:val="002937D1"/>
    <w:rsid w:val="00350302"/>
    <w:rsid w:val="003805FF"/>
    <w:rsid w:val="0038421C"/>
    <w:rsid w:val="003D3B64"/>
    <w:rsid w:val="00471932"/>
    <w:rsid w:val="004B4E22"/>
    <w:rsid w:val="005437F2"/>
    <w:rsid w:val="0055039C"/>
    <w:rsid w:val="0056303B"/>
    <w:rsid w:val="00575A90"/>
    <w:rsid w:val="005C1A0F"/>
    <w:rsid w:val="005D6765"/>
    <w:rsid w:val="00614C10"/>
    <w:rsid w:val="006308BB"/>
    <w:rsid w:val="006309F8"/>
    <w:rsid w:val="00630AF2"/>
    <w:rsid w:val="00657A0E"/>
    <w:rsid w:val="00691B4B"/>
    <w:rsid w:val="006D0B83"/>
    <w:rsid w:val="00717196"/>
    <w:rsid w:val="008963A9"/>
    <w:rsid w:val="008A0A72"/>
    <w:rsid w:val="008A7251"/>
    <w:rsid w:val="008E3955"/>
    <w:rsid w:val="009776CF"/>
    <w:rsid w:val="00977ABF"/>
    <w:rsid w:val="0099510A"/>
    <w:rsid w:val="009A2C83"/>
    <w:rsid w:val="009B269C"/>
    <w:rsid w:val="00AA38BC"/>
    <w:rsid w:val="00B0514C"/>
    <w:rsid w:val="00B568FC"/>
    <w:rsid w:val="00B870AD"/>
    <w:rsid w:val="00BC4A7C"/>
    <w:rsid w:val="00BD62EF"/>
    <w:rsid w:val="00C93153"/>
    <w:rsid w:val="00CB00E3"/>
    <w:rsid w:val="00CD443E"/>
    <w:rsid w:val="00CF0975"/>
    <w:rsid w:val="00D00144"/>
    <w:rsid w:val="00D62FE0"/>
    <w:rsid w:val="00D63885"/>
    <w:rsid w:val="00DB6422"/>
    <w:rsid w:val="00DC0906"/>
    <w:rsid w:val="00DC5848"/>
    <w:rsid w:val="00E35CC7"/>
    <w:rsid w:val="00EC3B0F"/>
    <w:rsid w:val="00F87F95"/>
    <w:rsid w:val="00F901CF"/>
    <w:rsid w:val="00FB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3DF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727D"/>
    <w:pPr>
      <w:spacing w:line="360" w:lineRule="auto"/>
    </w:pPr>
  </w:style>
  <w:style w:type="paragraph" w:styleId="Heading1">
    <w:name w:val="heading 1"/>
    <w:basedOn w:val="Normal"/>
    <w:next w:val="Normal"/>
    <w:link w:val="Heading1Char"/>
    <w:uiPriority w:val="9"/>
    <w:qFormat/>
    <w:rsid w:val="0023727D"/>
    <w:pPr>
      <w:spacing w:after="240"/>
      <w:outlineLvl w:val="0"/>
    </w:pPr>
    <w:rPr>
      <w:b/>
    </w:rPr>
  </w:style>
  <w:style w:type="paragraph" w:styleId="Heading2">
    <w:name w:val="heading 2"/>
    <w:basedOn w:val="Normal"/>
    <w:next w:val="Normal"/>
    <w:link w:val="Heading2Char"/>
    <w:uiPriority w:val="9"/>
    <w:unhideWhenUsed/>
    <w:qFormat/>
    <w:rsid w:val="00237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A7C"/>
    <w:pPr>
      <w:tabs>
        <w:tab w:val="center" w:pos="4680"/>
        <w:tab w:val="right" w:pos="9360"/>
      </w:tabs>
    </w:pPr>
  </w:style>
  <w:style w:type="character" w:customStyle="1" w:styleId="HeaderChar">
    <w:name w:val="Header Char"/>
    <w:basedOn w:val="DefaultParagraphFont"/>
    <w:link w:val="Header"/>
    <w:uiPriority w:val="99"/>
    <w:rsid w:val="00BC4A7C"/>
  </w:style>
  <w:style w:type="paragraph" w:styleId="Footer">
    <w:name w:val="footer"/>
    <w:basedOn w:val="Normal"/>
    <w:link w:val="FooterChar"/>
    <w:uiPriority w:val="99"/>
    <w:unhideWhenUsed/>
    <w:rsid w:val="00BC4A7C"/>
    <w:pPr>
      <w:tabs>
        <w:tab w:val="center" w:pos="4680"/>
        <w:tab w:val="right" w:pos="9360"/>
      </w:tabs>
    </w:pPr>
  </w:style>
  <w:style w:type="character" w:customStyle="1" w:styleId="FooterChar">
    <w:name w:val="Footer Char"/>
    <w:basedOn w:val="DefaultParagraphFont"/>
    <w:link w:val="Footer"/>
    <w:uiPriority w:val="99"/>
    <w:rsid w:val="00BC4A7C"/>
  </w:style>
  <w:style w:type="paragraph" w:styleId="NormalWeb">
    <w:name w:val="Normal (Web)"/>
    <w:basedOn w:val="Normal"/>
    <w:uiPriority w:val="99"/>
    <w:semiHidden/>
    <w:unhideWhenUsed/>
    <w:rsid w:val="00AA38BC"/>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23727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3727D"/>
    <w:rPr>
      <w:b/>
    </w:rPr>
  </w:style>
  <w:style w:type="character" w:styleId="Strong">
    <w:name w:val="Strong"/>
    <w:basedOn w:val="DefaultParagraphFont"/>
    <w:uiPriority w:val="22"/>
    <w:qFormat/>
    <w:rsid w:val="0023727D"/>
    <w:rPr>
      <w:b/>
      <w:bCs/>
    </w:rPr>
  </w:style>
  <w:style w:type="paragraph" w:styleId="ListParagraph">
    <w:name w:val="List Paragraph"/>
    <w:basedOn w:val="Normal"/>
    <w:uiPriority w:val="34"/>
    <w:qFormat/>
    <w:rsid w:val="00E35CC7"/>
    <w:pPr>
      <w:ind w:left="720"/>
      <w:contextualSpacing/>
    </w:pPr>
  </w:style>
  <w:style w:type="character" w:styleId="CommentReference">
    <w:name w:val="annotation reference"/>
    <w:basedOn w:val="DefaultParagraphFont"/>
    <w:uiPriority w:val="99"/>
    <w:semiHidden/>
    <w:unhideWhenUsed/>
    <w:rsid w:val="002937D1"/>
    <w:rPr>
      <w:sz w:val="16"/>
      <w:szCs w:val="16"/>
    </w:rPr>
  </w:style>
  <w:style w:type="paragraph" w:styleId="CommentText">
    <w:name w:val="annotation text"/>
    <w:basedOn w:val="Normal"/>
    <w:link w:val="CommentTextChar"/>
    <w:uiPriority w:val="99"/>
    <w:semiHidden/>
    <w:unhideWhenUsed/>
    <w:rsid w:val="002937D1"/>
    <w:pPr>
      <w:spacing w:line="240" w:lineRule="auto"/>
    </w:pPr>
    <w:rPr>
      <w:sz w:val="20"/>
      <w:szCs w:val="20"/>
    </w:rPr>
  </w:style>
  <w:style w:type="character" w:customStyle="1" w:styleId="CommentTextChar">
    <w:name w:val="Comment Text Char"/>
    <w:basedOn w:val="DefaultParagraphFont"/>
    <w:link w:val="CommentText"/>
    <w:uiPriority w:val="99"/>
    <w:semiHidden/>
    <w:rsid w:val="002937D1"/>
    <w:rPr>
      <w:sz w:val="20"/>
      <w:szCs w:val="20"/>
    </w:rPr>
  </w:style>
  <w:style w:type="paragraph" w:styleId="CommentSubject">
    <w:name w:val="annotation subject"/>
    <w:basedOn w:val="CommentText"/>
    <w:next w:val="CommentText"/>
    <w:link w:val="CommentSubjectChar"/>
    <w:uiPriority w:val="99"/>
    <w:semiHidden/>
    <w:unhideWhenUsed/>
    <w:rsid w:val="002937D1"/>
    <w:rPr>
      <w:b/>
      <w:bCs/>
    </w:rPr>
  </w:style>
  <w:style w:type="character" w:customStyle="1" w:styleId="CommentSubjectChar">
    <w:name w:val="Comment Subject Char"/>
    <w:basedOn w:val="CommentTextChar"/>
    <w:link w:val="CommentSubject"/>
    <w:uiPriority w:val="99"/>
    <w:semiHidden/>
    <w:rsid w:val="002937D1"/>
    <w:rPr>
      <w:b/>
      <w:bCs/>
      <w:sz w:val="20"/>
      <w:szCs w:val="20"/>
    </w:rPr>
  </w:style>
  <w:style w:type="paragraph" w:styleId="BalloonText">
    <w:name w:val="Balloon Text"/>
    <w:basedOn w:val="Normal"/>
    <w:link w:val="BalloonTextChar"/>
    <w:uiPriority w:val="99"/>
    <w:semiHidden/>
    <w:unhideWhenUsed/>
    <w:rsid w:val="002937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32043">
      <w:bodyDiv w:val="1"/>
      <w:marLeft w:val="0"/>
      <w:marRight w:val="0"/>
      <w:marTop w:val="0"/>
      <w:marBottom w:val="0"/>
      <w:divBdr>
        <w:top w:val="none" w:sz="0" w:space="0" w:color="auto"/>
        <w:left w:val="none" w:sz="0" w:space="0" w:color="auto"/>
        <w:bottom w:val="none" w:sz="0" w:space="0" w:color="auto"/>
        <w:right w:val="none" w:sz="0" w:space="0" w:color="auto"/>
      </w:divBdr>
    </w:div>
    <w:div w:id="749498104">
      <w:bodyDiv w:val="1"/>
      <w:marLeft w:val="0"/>
      <w:marRight w:val="0"/>
      <w:marTop w:val="0"/>
      <w:marBottom w:val="0"/>
      <w:divBdr>
        <w:top w:val="none" w:sz="0" w:space="0" w:color="auto"/>
        <w:left w:val="none" w:sz="0" w:space="0" w:color="auto"/>
        <w:bottom w:val="none" w:sz="0" w:space="0" w:color="auto"/>
        <w:right w:val="none" w:sz="0" w:space="0" w:color="auto"/>
      </w:divBdr>
    </w:div>
    <w:div w:id="1231423642">
      <w:bodyDiv w:val="1"/>
      <w:marLeft w:val="0"/>
      <w:marRight w:val="0"/>
      <w:marTop w:val="0"/>
      <w:marBottom w:val="0"/>
      <w:divBdr>
        <w:top w:val="none" w:sz="0" w:space="0" w:color="auto"/>
        <w:left w:val="none" w:sz="0" w:space="0" w:color="auto"/>
        <w:bottom w:val="none" w:sz="0" w:space="0" w:color="auto"/>
        <w:right w:val="none" w:sz="0" w:space="0" w:color="auto"/>
      </w:divBdr>
    </w:div>
    <w:div w:id="1232807715">
      <w:bodyDiv w:val="1"/>
      <w:marLeft w:val="0"/>
      <w:marRight w:val="0"/>
      <w:marTop w:val="0"/>
      <w:marBottom w:val="0"/>
      <w:divBdr>
        <w:top w:val="none" w:sz="0" w:space="0" w:color="auto"/>
        <w:left w:val="none" w:sz="0" w:space="0" w:color="auto"/>
        <w:bottom w:val="none" w:sz="0" w:space="0" w:color="auto"/>
        <w:right w:val="none" w:sz="0" w:space="0" w:color="auto"/>
      </w:divBdr>
    </w:div>
    <w:div w:id="1587882313">
      <w:bodyDiv w:val="1"/>
      <w:marLeft w:val="0"/>
      <w:marRight w:val="0"/>
      <w:marTop w:val="0"/>
      <w:marBottom w:val="0"/>
      <w:divBdr>
        <w:top w:val="none" w:sz="0" w:space="0" w:color="auto"/>
        <w:left w:val="none" w:sz="0" w:space="0" w:color="auto"/>
        <w:bottom w:val="none" w:sz="0" w:space="0" w:color="auto"/>
        <w:right w:val="none" w:sz="0" w:space="0" w:color="auto"/>
      </w:divBdr>
    </w:div>
    <w:div w:id="20113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9EEC8-A33F-4DE0-9D9C-D4F23D76C708}">
  <ds:schemaRefs>
    <ds:schemaRef ds:uri="http://schemas.openxmlformats.org/officeDocument/2006/bibliography"/>
  </ds:schemaRefs>
</ds:datastoreItem>
</file>

<file path=customXml/itemProps2.xml><?xml version="1.0" encoding="utf-8"?>
<ds:datastoreItem xmlns:ds="http://schemas.openxmlformats.org/officeDocument/2006/customXml" ds:itemID="{DC98F396-54F2-4A4D-8FF3-E6127C899E7B}"/>
</file>

<file path=customXml/itemProps3.xml><?xml version="1.0" encoding="utf-8"?>
<ds:datastoreItem xmlns:ds="http://schemas.openxmlformats.org/officeDocument/2006/customXml" ds:itemID="{F9C7E49B-5120-4891-92C9-C96B128E629B}"/>
</file>

<file path=customXml/itemProps4.xml><?xml version="1.0" encoding="utf-8"?>
<ds:datastoreItem xmlns:ds="http://schemas.openxmlformats.org/officeDocument/2006/customXml" ds:itemID="{0218E8D4-7DEA-44C9-877D-47AF93A6668D}"/>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Kmetz</dc:creator>
  <cp:keywords/>
  <dc:description/>
  <cp:lastModifiedBy>Moore, Vickie M.</cp:lastModifiedBy>
  <cp:revision>2</cp:revision>
  <cp:lastPrinted>2017-12-04T16:12:00Z</cp:lastPrinted>
  <dcterms:created xsi:type="dcterms:W3CDTF">2020-08-25T13:59:00Z</dcterms:created>
  <dcterms:modified xsi:type="dcterms:W3CDTF">2020-08-25T13:59:00Z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ies>
</file>