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0CFB2" w14:textId="13DF879D" w:rsidR="000A080F" w:rsidRPr="00E35CC7" w:rsidRDefault="00BC4A7C" w:rsidP="0056303B">
      <w:pPr>
        <w:ind w:right="900"/>
        <w:rPr>
          <w:rFonts w:cs="Arial"/>
          <w:noProof/>
          <w:szCs w:val="22"/>
        </w:rPr>
      </w:pPr>
      <w:r w:rsidRPr="00E35CC7">
        <w:softHyphen/>
      </w:r>
      <w:r w:rsidRPr="00E35CC7">
        <w:softHyphen/>
      </w:r>
    </w:p>
    <w:p w14:paraId="338CA785" w14:textId="0BC2A583" w:rsidR="000A080F" w:rsidRPr="00E35CC7" w:rsidRDefault="004B4E22" w:rsidP="000A080F">
      <w:pPr>
        <w:tabs>
          <w:tab w:val="left" w:pos="900"/>
        </w:tabs>
        <w:rPr>
          <w:rFonts w:cs="Arial"/>
          <w:szCs w:val="22"/>
        </w:rPr>
      </w:pPr>
      <w:r w:rsidRPr="00E35CC7">
        <w:rPr>
          <w:rFonts w:cs="Arial"/>
          <w:noProof/>
          <w:szCs w:val="22"/>
        </w:rPr>
        <w:t>Code Determination Number</w:t>
      </w:r>
      <w:r w:rsidR="000A080F" w:rsidRPr="00E35CC7">
        <w:rPr>
          <w:rFonts w:cs="Arial"/>
          <w:noProof/>
          <w:szCs w:val="22"/>
        </w:rPr>
        <w:t>:</w:t>
      </w:r>
      <w:r w:rsidR="000A080F" w:rsidRPr="00E35CC7">
        <w:rPr>
          <w:rFonts w:cs="Arial"/>
          <w:noProof/>
          <w:szCs w:val="22"/>
        </w:rPr>
        <w:tab/>
      </w:r>
      <w:r w:rsidR="000A080F" w:rsidRPr="00E35CC7">
        <w:rPr>
          <w:rFonts w:cs="Arial"/>
          <w:noProof/>
          <w:szCs w:val="22"/>
        </w:rPr>
        <w:tab/>
      </w:r>
      <w:r w:rsidRPr="00E35CC7">
        <w:rPr>
          <w:rFonts w:cs="Arial"/>
          <w:noProof/>
          <w:szCs w:val="22"/>
        </w:rPr>
        <w:t>0</w:t>
      </w:r>
      <w:r w:rsidR="00575A90">
        <w:rPr>
          <w:rFonts w:cs="Arial"/>
          <w:noProof/>
          <w:szCs w:val="22"/>
        </w:rPr>
        <w:t>4</w:t>
      </w:r>
    </w:p>
    <w:p w14:paraId="7DBB9FB7" w14:textId="7181CF38" w:rsidR="004B4E22" w:rsidRPr="00E35CC7" w:rsidRDefault="000A080F" w:rsidP="000A080F">
      <w:pPr>
        <w:rPr>
          <w:rFonts w:cs="Arial"/>
          <w:szCs w:val="22"/>
        </w:rPr>
      </w:pPr>
      <w:r w:rsidRPr="00E35CC7">
        <w:rPr>
          <w:rFonts w:cs="Arial"/>
          <w:noProof/>
          <w:szCs w:val="22"/>
        </w:rPr>
        <w:t>Date:</w:t>
      </w:r>
      <w:r w:rsidRPr="00E35CC7">
        <w:rPr>
          <w:rFonts w:cs="Arial"/>
          <w:noProof/>
          <w:szCs w:val="22"/>
        </w:rPr>
        <w:tab/>
      </w:r>
      <w:bookmarkStart w:id="0" w:name="Text2"/>
      <w:r w:rsidRPr="00E35CC7">
        <w:rPr>
          <w:rFonts w:cs="Arial"/>
          <w:noProof/>
          <w:szCs w:val="22"/>
        </w:rPr>
        <w:tab/>
      </w:r>
      <w:bookmarkStart w:id="1" w:name="Text7"/>
      <w:bookmarkEnd w:id="0"/>
      <w:r w:rsidR="004B4E22" w:rsidRPr="00E35CC7">
        <w:rPr>
          <w:rFonts w:cs="Arial"/>
          <w:noProof/>
          <w:szCs w:val="22"/>
        </w:rPr>
        <w:tab/>
      </w:r>
      <w:r w:rsidR="004B4E22" w:rsidRPr="00E35CC7">
        <w:rPr>
          <w:rFonts w:cs="Arial"/>
          <w:noProof/>
          <w:szCs w:val="22"/>
        </w:rPr>
        <w:tab/>
      </w:r>
      <w:r w:rsidR="004B4E22" w:rsidRPr="00E35CC7">
        <w:rPr>
          <w:rFonts w:cs="Arial"/>
          <w:noProof/>
          <w:szCs w:val="22"/>
        </w:rPr>
        <w:tab/>
      </w:r>
      <w:bookmarkEnd w:id="1"/>
      <w:r w:rsidR="00575A90">
        <w:rPr>
          <w:rFonts w:cs="Arial"/>
          <w:szCs w:val="22"/>
        </w:rPr>
        <w:t xml:space="preserve">June </w:t>
      </w:r>
      <w:r w:rsidR="00671346">
        <w:rPr>
          <w:rFonts w:cs="Arial"/>
          <w:szCs w:val="22"/>
        </w:rPr>
        <w:t>9</w:t>
      </w:r>
      <w:bookmarkStart w:id="2" w:name="_GoBack"/>
      <w:bookmarkEnd w:id="2"/>
      <w:r w:rsidR="004B4E22" w:rsidRPr="00E35CC7">
        <w:rPr>
          <w:rFonts w:cs="Arial"/>
          <w:szCs w:val="22"/>
        </w:rPr>
        <w:t>, 2020</w:t>
      </w:r>
    </w:p>
    <w:p w14:paraId="54856A85" w14:textId="15766B93" w:rsidR="004B4E22" w:rsidRPr="00E35CC7" w:rsidRDefault="004B4E22" w:rsidP="000A080F">
      <w:pPr>
        <w:rPr>
          <w:rFonts w:cs="Arial"/>
          <w:szCs w:val="22"/>
        </w:rPr>
      </w:pPr>
      <w:r w:rsidRPr="00E35CC7">
        <w:rPr>
          <w:rFonts w:cs="Arial"/>
          <w:szCs w:val="22"/>
        </w:rPr>
        <w:t>Code Edition:</w:t>
      </w:r>
      <w:r w:rsidRPr="00E35CC7">
        <w:rPr>
          <w:rFonts w:cs="Arial"/>
          <w:szCs w:val="22"/>
        </w:rPr>
        <w:tab/>
      </w:r>
      <w:r w:rsidRPr="00E35CC7">
        <w:rPr>
          <w:rFonts w:cs="Arial"/>
          <w:szCs w:val="22"/>
        </w:rPr>
        <w:tab/>
      </w:r>
      <w:r w:rsidRPr="00E35CC7">
        <w:rPr>
          <w:rFonts w:cs="Arial"/>
          <w:szCs w:val="22"/>
        </w:rPr>
        <w:tab/>
      </w:r>
      <w:r w:rsidRPr="00E35CC7">
        <w:rPr>
          <w:rFonts w:cs="Arial"/>
          <w:szCs w:val="22"/>
        </w:rPr>
        <w:tab/>
      </w:r>
      <w:r w:rsidR="00575A90">
        <w:rPr>
          <w:rFonts w:cs="Arial"/>
          <w:szCs w:val="22"/>
        </w:rPr>
        <w:t>2018 IBC</w:t>
      </w:r>
      <w:r w:rsidRPr="00E35CC7">
        <w:rPr>
          <w:rFonts w:cs="Arial"/>
          <w:szCs w:val="22"/>
        </w:rPr>
        <w:t xml:space="preserve"> </w:t>
      </w:r>
    </w:p>
    <w:p w14:paraId="0D33DB3F" w14:textId="2E04268F" w:rsidR="004B4E22" w:rsidRDefault="004B4E22" w:rsidP="000A080F">
      <w:r w:rsidRPr="00E35CC7">
        <w:rPr>
          <w:rFonts w:cs="Arial"/>
          <w:szCs w:val="22"/>
        </w:rPr>
        <w:t>Code Section:</w:t>
      </w:r>
      <w:r w:rsidRPr="00E35CC7">
        <w:rPr>
          <w:rFonts w:cs="Arial"/>
          <w:szCs w:val="22"/>
        </w:rPr>
        <w:tab/>
      </w:r>
      <w:r w:rsidRPr="00E35CC7">
        <w:rPr>
          <w:rFonts w:cs="Arial"/>
          <w:szCs w:val="22"/>
        </w:rPr>
        <w:tab/>
      </w:r>
      <w:r w:rsidRPr="00E35CC7">
        <w:rPr>
          <w:rFonts w:cs="Arial"/>
          <w:szCs w:val="22"/>
        </w:rPr>
        <w:tab/>
      </w:r>
      <w:r w:rsidRPr="00E35CC7">
        <w:rPr>
          <w:rFonts w:cs="Arial"/>
          <w:szCs w:val="22"/>
        </w:rPr>
        <w:tab/>
      </w:r>
      <w:r w:rsidR="00575A90">
        <w:t>111.3 Temporary Occupancy</w:t>
      </w:r>
    </w:p>
    <w:p w14:paraId="5FC864D1" w14:textId="0957E1E7" w:rsidR="007C5B70" w:rsidRDefault="007C5B70" w:rsidP="000A080F">
      <w:pPr>
        <w:rPr>
          <w:rFonts w:cs="Arial"/>
          <w:noProof/>
          <w:szCs w:val="22"/>
        </w:rPr>
      </w:pPr>
      <w:r>
        <w:rPr>
          <w:rFonts w:cs="Arial"/>
          <w:noProof/>
          <w:szCs w:val="22"/>
        </w:rPr>
        <w:t>Subject:</w:t>
      </w:r>
      <w:r>
        <w:rPr>
          <w:rFonts w:cs="Arial"/>
          <w:noProof/>
          <w:szCs w:val="22"/>
        </w:rPr>
        <w:tab/>
      </w:r>
      <w:r>
        <w:rPr>
          <w:rFonts w:cs="Arial"/>
          <w:noProof/>
          <w:szCs w:val="22"/>
        </w:rPr>
        <w:tab/>
      </w:r>
      <w:r>
        <w:rPr>
          <w:rFonts w:cs="Arial"/>
          <w:noProof/>
          <w:szCs w:val="22"/>
        </w:rPr>
        <w:tab/>
      </w:r>
      <w:r>
        <w:rPr>
          <w:rFonts w:cs="Arial"/>
          <w:noProof/>
          <w:szCs w:val="22"/>
        </w:rPr>
        <w:tab/>
        <w:t>Extension of a Temporary Certificate of Occupancy</w:t>
      </w:r>
    </w:p>
    <w:p w14:paraId="4ACDD35B" w14:textId="77777777" w:rsidR="007C5B70" w:rsidRDefault="007C5B70" w:rsidP="000A080F">
      <w:pPr>
        <w:rPr>
          <w:rFonts w:cs="Arial"/>
          <w:szCs w:val="22"/>
        </w:rPr>
      </w:pPr>
    </w:p>
    <w:p w14:paraId="1380C012" w14:textId="25D08011" w:rsidR="00575A90" w:rsidRPr="00E35CC7" w:rsidRDefault="00575A90" w:rsidP="000A080F">
      <w:pPr>
        <w:rPr>
          <w:rFonts w:cs="Arial"/>
          <w:szCs w:val="22"/>
        </w:rPr>
      </w:pPr>
      <w:r w:rsidRPr="00575A90">
        <w:rPr>
          <w:rFonts w:cs="Arial"/>
          <w:noProof/>
          <w:szCs w:val="22"/>
        </w:rPr>
        <w:drawing>
          <wp:inline distT="0" distB="0" distL="0" distR="0" wp14:anchorId="36C92683" wp14:editId="68F97979">
            <wp:extent cx="6400800" cy="1082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082040"/>
                    </a:xfrm>
                    <a:prstGeom prst="rect">
                      <a:avLst/>
                    </a:prstGeom>
                  </pic:spPr>
                </pic:pic>
              </a:graphicData>
            </a:graphic>
          </wp:inline>
        </w:drawing>
      </w:r>
    </w:p>
    <w:p w14:paraId="65ADB3E2" w14:textId="2855EC1D" w:rsidR="000A080F" w:rsidRPr="00E35CC7" w:rsidRDefault="0023727D" w:rsidP="0023727D">
      <w:pPr>
        <w:pStyle w:val="Heading1"/>
      </w:pPr>
      <w:bookmarkStart w:id="3" w:name="_Hlk38369830"/>
      <w:r w:rsidRPr="00E35CC7">
        <w:t>Question</w:t>
      </w:r>
      <w:r w:rsidR="00E35CC7">
        <w:t xml:space="preserve"> (from GBA)</w:t>
      </w:r>
      <w:r w:rsidRPr="00E35CC7">
        <w:t>:</w:t>
      </w:r>
    </w:p>
    <w:bookmarkEnd w:id="3"/>
    <w:p w14:paraId="4C25D0A4" w14:textId="1DEDF97C" w:rsidR="0023727D" w:rsidRPr="00E35CC7" w:rsidRDefault="00575A90" w:rsidP="0023727D">
      <w:r>
        <w:t>Is a temporary certificate of occupancy allowed to be extended past the 30-day period</w:t>
      </w:r>
      <w:r w:rsidR="00E35CC7" w:rsidRPr="00E35CC7">
        <w:t>?</w:t>
      </w:r>
      <w:r>
        <w:t xml:space="preserve"> If so, what is the procedure?</w:t>
      </w:r>
    </w:p>
    <w:p w14:paraId="489ACA69" w14:textId="77777777" w:rsidR="0023727D" w:rsidRPr="00E35CC7" w:rsidRDefault="0023727D" w:rsidP="0023727D"/>
    <w:p w14:paraId="1EDEE497" w14:textId="05AB3533" w:rsidR="0023727D" w:rsidRPr="00E35CC7" w:rsidRDefault="0023727D" w:rsidP="0023727D">
      <w:pPr>
        <w:pStyle w:val="Heading1"/>
        <w:rPr>
          <w:rStyle w:val="Strong"/>
          <w:b/>
          <w:bCs w:val="0"/>
        </w:rPr>
      </w:pPr>
      <w:bookmarkStart w:id="4" w:name="_Hlk38369834"/>
      <w:r w:rsidRPr="00E35CC7">
        <w:rPr>
          <w:rStyle w:val="Strong"/>
          <w:b/>
          <w:bCs w:val="0"/>
        </w:rPr>
        <w:t>Answer</w:t>
      </w:r>
      <w:r w:rsidR="00E35CC7">
        <w:rPr>
          <w:rStyle w:val="Strong"/>
          <w:b/>
          <w:bCs w:val="0"/>
        </w:rPr>
        <w:t xml:space="preserve"> (from UM System)</w:t>
      </w:r>
      <w:r w:rsidRPr="00E35CC7">
        <w:rPr>
          <w:rStyle w:val="Strong"/>
          <w:b/>
          <w:bCs w:val="0"/>
        </w:rPr>
        <w:t>:</w:t>
      </w:r>
    </w:p>
    <w:bookmarkEnd w:id="4"/>
    <w:p w14:paraId="65AC8610" w14:textId="5E29C4C1" w:rsidR="007C5B70" w:rsidRDefault="007C5B70" w:rsidP="00575A90">
      <w:pPr>
        <w:rPr>
          <w:b/>
          <w:i/>
        </w:rPr>
      </w:pPr>
      <w:r>
        <w:t>The UM AHJ allows an inspector to issue a Temporary Certificate of Occupancy (TCO)</w:t>
      </w:r>
      <w:r w:rsidR="00A0742F">
        <w:t xml:space="preserve"> per IBC 111.3</w:t>
      </w:r>
      <w:r>
        <w:t xml:space="preserve">. </w:t>
      </w:r>
      <w:r w:rsidR="00602770" w:rsidRPr="00602770">
        <w:rPr>
          <w:u w:val="single"/>
        </w:rPr>
        <w:t>For construction projects</w:t>
      </w:r>
      <w:r w:rsidR="00602770">
        <w:t>: t</w:t>
      </w:r>
      <w:r>
        <w:t xml:space="preserve">his certificate could be used to allow the Owner to take </w:t>
      </w:r>
      <w:r w:rsidR="00A0742F">
        <w:t xml:space="preserve">acceptance of </w:t>
      </w:r>
      <w:r>
        <w:t>a portion of</w:t>
      </w:r>
      <w:r w:rsidR="00A0742F">
        <w:t xml:space="preserve"> the</w:t>
      </w:r>
      <w:r>
        <w:t xml:space="preserve"> construction project or accept planned phas</w:t>
      </w:r>
      <w:r w:rsidR="00A0742F">
        <w:t>ing</w:t>
      </w:r>
      <w:r>
        <w:t xml:space="preserve"> of the construction work as it is completed. </w:t>
      </w:r>
      <w:r w:rsidRPr="00A0742F">
        <w:rPr>
          <w:b/>
          <w:i/>
        </w:rPr>
        <w:t>All life, health, and safety items must be complete</w:t>
      </w:r>
      <w:r w:rsidR="00A0742F">
        <w:rPr>
          <w:b/>
          <w:i/>
        </w:rPr>
        <w:t xml:space="preserve"> and </w:t>
      </w:r>
      <w:r w:rsidR="00D74137" w:rsidRPr="00A0742F">
        <w:rPr>
          <w:b/>
          <w:i/>
        </w:rPr>
        <w:t xml:space="preserve">free of any </w:t>
      </w:r>
      <w:r w:rsidRPr="00A0742F">
        <w:rPr>
          <w:b/>
          <w:i/>
        </w:rPr>
        <w:t>violation, for the portions of work covered in the Temporary Certificate of Occupancy.</w:t>
      </w:r>
    </w:p>
    <w:p w14:paraId="2233C251" w14:textId="77777777" w:rsidR="00A0742F" w:rsidRPr="00A0742F" w:rsidRDefault="00A0742F" w:rsidP="00575A90">
      <w:pPr>
        <w:rPr>
          <w:b/>
          <w:i/>
        </w:rPr>
      </w:pPr>
    </w:p>
    <w:p w14:paraId="087C98FA" w14:textId="77777777" w:rsidR="00D74137" w:rsidRDefault="007C5B70" w:rsidP="00575A90">
      <w:r>
        <w:t xml:space="preserve">We have </w:t>
      </w:r>
      <w:r w:rsidR="00575A90">
        <w:t>established a maximum 30-da</w:t>
      </w:r>
      <w:r>
        <w:t>y</w:t>
      </w:r>
      <w:r w:rsidR="00575A90">
        <w:t xml:space="preserve"> expiration time frame for TCO’s. This matches our contractual requirements stating that the project must be ‘completed’ within 30 days of substantial completion.</w:t>
      </w:r>
      <w:r w:rsidR="00D74137">
        <w:t xml:space="preserve"> </w:t>
      </w:r>
    </w:p>
    <w:p w14:paraId="1F2D1317" w14:textId="154112E0" w:rsidR="00575A90" w:rsidRDefault="00D74137" w:rsidP="00575A90">
      <w:r>
        <w:t>Smaller projects, or project</w:t>
      </w:r>
      <w:r w:rsidR="00A0742F">
        <w:t>s</w:t>
      </w:r>
      <w:r>
        <w:t xml:space="preserve"> performed by “in house construction”</w:t>
      </w:r>
      <w:r w:rsidR="00A0742F">
        <w:t>, where a construction contract was not issued, can have a shorter TCO expiration time frame</w:t>
      </w:r>
      <w:r w:rsidR="00161BFD">
        <w:t xml:space="preserve"> based on the inspector’s findings during the TCO inspection.</w:t>
      </w:r>
    </w:p>
    <w:p w14:paraId="1F421B72" w14:textId="77777777" w:rsidR="00575A90" w:rsidRDefault="00575A90" w:rsidP="00575A90"/>
    <w:p w14:paraId="46239FD5" w14:textId="013EA5B4" w:rsidR="00575A90" w:rsidRDefault="00575A90" w:rsidP="00575A90">
      <w:r>
        <w:t>Th</w:t>
      </w:r>
      <w:r w:rsidR="00A0742F">
        <w:t xml:space="preserve">e established </w:t>
      </w:r>
      <w:r w:rsidR="00161BFD">
        <w:t xml:space="preserve">maximum </w:t>
      </w:r>
      <w:r>
        <w:t xml:space="preserve">expiration time frame </w:t>
      </w:r>
      <w:r w:rsidR="00A0742F">
        <w:t>re</w:t>
      </w:r>
      <w:r w:rsidR="00B7354A">
        <w:t>-</w:t>
      </w:r>
      <w:r w:rsidR="00A0742F">
        <w:t>enforces the</w:t>
      </w:r>
      <w:r w:rsidR="00B7354A">
        <w:t xml:space="preserve"> importance of </w:t>
      </w:r>
      <w:r w:rsidR="00A0742F">
        <w:t>correct</w:t>
      </w:r>
      <w:r w:rsidR="00B7354A">
        <w:t>ing</w:t>
      </w:r>
      <w:r w:rsidR="00A0742F">
        <w:t xml:space="preserve"> the remaining code violations</w:t>
      </w:r>
      <w:r w:rsidR="00161BFD">
        <w:t>,</w:t>
      </w:r>
      <w:r w:rsidR="00A0742F">
        <w:t xml:space="preserve"> complet</w:t>
      </w:r>
      <w:r w:rsidR="00B7354A">
        <w:t>ing</w:t>
      </w:r>
      <w:r w:rsidR="00A0742F">
        <w:t xml:space="preserve"> the project in a timely manner</w:t>
      </w:r>
      <w:r w:rsidR="00161BFD">
        <w:t>, and clos</w:t>
      </w:r>
      <w:r w:rsidR="00B7354A">
        <w:t>ing</w:t>
      </w:r>
      <w:r w:rsidR="00161BFD">
        <w:t xml:space="preserve"> out the building permit</w:t>
      </w:r>
      <w:r w:rsidR="00A0742F">
        <w:t xml:space="preserve">. </w:t>
      </w:r>
    </w:p>
    <w:p w14:paraId="5FB789CA" w14:textId="77777777" w:rsidR="00575A90" w:rsidRDefault="00575A90" w:rsidP="00575A90"/>
    <w:p w14:paraId="3B54E2BA" w14:textId="6DF29A08" w:rsidR="00671346" w:rsidRPr="00671346" w:rsidRDefault="00575A90" w:rsidP="00671346">
      <w:r>
        <w:lastRenderedPageBreak/>
        <w:t xml:space="preserve">An extension should only be </w:t>
      </w:r>
      <w:r w:rsidR="00A0742F">
        <w:t xml:space="preserve">granted </w:t>
      </w:r>
      <w:r>
        <w:t>on a case by case basis</w:t>
      </w:r>
      <w:r w:rsidR="00A0742F">
        <w:t xml:space="preserve"> and </w:t>
      </w:r>
      <w:r w:rsidR="000865A3">
        <w:t xml:space="preserve">must </w:t>
      </w:r>
      <w:r w:rsidR="00A0742F">
        <w:t xml:space="preserve">have just cause. A reinspection shall be </w:t>
      </w:r>
      <w:r w:rsidR="00161BFD">
        <w:t xml:space="preserve">performed to verify the remaining code violations/discrepancies prior to granting an extension. </w:t>
      </w:r>
      <w:r w:rsidR="00A0742F">
        <w:t xml:space="preserve">Any extension shall be limited to </w:t>
      </w:r>
      <w:r>
        <w:t>a maximum of 15 days</w:t>
      </w:r>
      <w:r w:rsidR="00161BFD">
        <w:t xml:space="preserve">. Any applicable reinspection fees shall be borne by the Contractor as </w:t>
      </w:r>
      <w:r w:rsidR="00B7354A">
        <w:t xml:space="preserve">described </w:t>
      </w:r>
      <w:r w:rsidR="00161BFD">
        <w:t>in the General Conditions</w:t>
      </w:r>
      <w:r w:rsidR="00671346">
        <w:t xml:space="preserve"> </w:t>
      </w:r>
      <w:r w:rsidR="00671346" w:rsidRPr="00671346">
        <w:t>(</w:t>
      </w:r>
      <w:r w:rsidR="00671346" w:rsidRPr="00671346">
        <w:t>u</w:t>
      </w:r>
      <w:r w:rsidR="00671346" w:rsidRPr="00671346">
        <w:t xml:space="preserve">nless the </w:t>
      </w:r>
      <w:r w:rsidR="00671346" w:rsidRPr="00671346">
        <w:t xml:space="preserve">cause for the delay is due to needs of the Owner). </w:t>
      </w:r>
    </w:p>
    <w:p w14:paraId="30793084" w14:textId="344708A7" w:rsidR="00602770" w:rsidRDefault="00602770" w:rsidP="00575A90"/>
    <w:p w14:paraId="2423BA33" w14:textId="05129338" w:rsidR="00602770" w:rsidRDefault="00602770" w:rsidP="00575A90">
      <w:r w:rsidRPr="00602770">
        <w:rPr>
          <w:u w:val="single"/>
        </w:rPr>
        <w:t>Other uses for a Temporary Certificate of Occupancy</w:t>
      </w:r>
      <w:r>
        <w:t>: where a “Conditional Use Building Permit” is being issued to allow a temporary change of use, special use, or limited time frame use, the Temporary Certificate of Occupancy can be issued with an expiration date equal to the permit duration. Consult with the UM AHJ for clarification and recommendations in these instances.</w:t>
      </w:r>
    </w:p>
    <w:p w14:paraId="442DC8ED" w14:textId="77777777" w:rsidR="00602770" w:rsidRDefault="00602770" w:rsidP="00575A90"/>
    <w:p w14:paraId="1F2DFB4D" w14:textId="7179A172" w:rsidR="00575A90" w:rsidRDefault="00161BFD" w:rsidP="00575A90">
      <w:r>
        <w:t xml:space="preserve">Lastly, </w:t>
      </w:r>
      <w:r w:rsidR="00602770">
        <w:t xml:space="preserve">a Certificate of Occupancy (Temporary or Final) can be revoked per the provisions in IBC 111.4. </w:t>
      </w:r>
      <w:r w:rsidR="00575A90">
        <w:t xml:space="preserve"> </w:t>
      </w:r>
    </w:p>
    <w:p w14:paraId="082AB3D2" w14:textId="77777777" w:rsidR="00602770" w:rsidRDefault="00602770" w:rsidP="00E35CC7">
      <w:pPr>
        <w:tabs>
          <w:tab w:val="left" w:pos="3645"/>
        </w:tabs>
      </w:pPr>
    </w:p>
    <w:p w14:paraId="3C45F110" w14:textId="59399324" w:rsidR="00176FA9" w:rsidRDefault="00193BE0" w:rsidP="00E35CC7">
      <w:pPr>
        <w:tabs>
          <w:tab w:val="left" w:pos="3645"/>
        </w:tabs>
      </w:pPr>
      <w:r>
        <w:tab/>
      </w:r>
    </w:p>
    <w:p w14:paraId="5C33E8CC" w14:textId="59998EA1" w:rsidR="00E35CC7" w:rsidRPr="00E35CC7" w:rsidRDefault="00E35CC7" w:rsidP="00575A90">
      <w:pPr>
        <w:pStyle w:val="ListParagraph"/>
        <w:spacing w:line="276" w:lineRule="auto"/>
        <w:contextualSpacing w:val="0"/>
      </w:pPr>
    </w:p>
    <w:sectPr w:rsidR="00E35CC7" w:rsidRPr="00E35CC7" w:rsidSect="001D7C8A">
      <w:headerReference w:type="default" r:id="rId9"/>
      <w:footerReference w:type="default" r:id="rId10"/>
      <w:headerReference w:type="first" r:id="rId11"/>
      <w:footerReference w:type="first" r:id="rId12"/>
      <w:pgSz w:w="12240" w:h="15840"/>
      <w:pgMar w:top="1440" w:right="1080" w:bottom="1080" w:left="1080" w:header="71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FD297" w14:textId="77777777" w:rsidR="00131EEF" w:rsidRDefault="00131EEF" w:rsidP="00BC4A7C">
      <w:r>
        <w:separator/>
      </w:r>
    </w:p>
  </w:endnote>
  <w:endnote w:type="continuationSeparator" w:id="0">
    <w:p w14:paraId="244E021E" w14:textId="77777777" w:rsidR="00131EEF" w:rsidRDefault="00131EEF" w:rsidP="00BC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BD24" w14:textId="77777777" w:rsidR="00BC4A7C" w:rsidRPr="00176FA9" w:rsidRDefault="00DC5848" w:rsidP="00DC5848">
    <w:pPr>
      <w:pStyle w:val="Footer"/>
      <w:tabs>
        <w:tab w:val="clear" w:pos="4680"/>
        <w:tab w:val="clear" w:pos="9360"/>
        <w:tab w:val="right" w:pos="9180"/>
      </w:tabs>
      <w:ind w:left="-1350" w:right="-1260"/>
    </w:pPr>
    <w:r w:rsidRPr="00DC5848">
      <w:rPr>
        <w:noProof/>
      </w:rPr>
      <w:drawing>
        <wp:anchor distT="0" distB="0" distL="114300" distR="114300" simplePos="0" relativeHeight="251660288" behindDoc="1" locked="0" layoutInCell="1" allowOverlap="1" wp14:anchorId="2E3D64F3" wp14:editId="04569A38">
          <wp:simplePos x="0" y="0"/>
          <wp:positionH relativeFrom="column">
            <wp:posOffset>-857250</wp:posOffset>
          </wp:positionH>
          <wp:positionV relativeFrom="paragraph">
            <wp:posOffset>-151696</wp:posOffset>
          </wp:positionV>
          <wp:extent cx="8001000" cy="402336"/>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01000"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60D7B" w14:textId="77777777" w:rsidR="00657A0E" w:rsidRDefault="00657A0E">
    <w:pPr>
      <w:pStyle w:val="Footer"/>
    </w:pPr>
    <w:r w:rsidRPr="00DC5848">
      <w:rPr>
        <w:noProof/>
      </w:rPr>
      <w:drawing>
        <wp:anchor distT="0" distB="0" distL="114300" distR="114300" simplePos="0" relativeHeight="251665408" behindDoc="1" locked="0" layoutInCell="1" allowOverlap="1" wp14:anchorId="66D02228" wp14:editId="59BB4780">
          <wp:simplePos x="0" y="0"/>
          <wp:positionH relativeFrom="page">
            <wp:posOffset>-114300</wp:posOffset>
          </wp:positionH>
          <wp:positionV relativeFrom="paragraph">
            <wp:posOffset>-223520</wp:posOffset>
          </wp:positionV>
          <wp:extent cx="8001000" cy="40233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01000" cy="4023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B4B21" w14:textId="77777777" w:rsidR="00131EEF" w:rsidRDefault="00131EEF" w:rsidP="00BC4A7C">
      <w:r>
        <w:separator/>
      </w:r>
    </w:p>
  </w:footnote>
  <w:footnote w:type="continuationSeparator" w:id="0">
    <w:p w14:paraId="09C3E3BE" w14:textId="77777777" w:rsidR="00131EEF" w:rsidRDefault="00131EEF" w:rsidP="00BC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32CB" w14:textId="626AE4F6" w:rsidR="00BC4A7C" w:rsidRDefault="009A2C83" w:rsidP="00BC4A7C">
    <w:pPr>
      <w:pStyle w:val="Header"/>
      <w:ind w:left="-45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D3F8" w14:textId="7EC40B25" w:rsidR="00657A0E" w:rsidRPr="0056303B" w:rsidRDefault="0056303B">
    <w:pPr>
      <w:pStyle w:val="Header"/>
      <w:rPr>
        <w:b/>
        <w:bCs/>
        <w:sz w:val="56"/>
        <w:szCs w:val="72"/>
      </w:rPr>
    </w:pPr>
    <w:r w:rsidRPr="000C7406">
      <w:rPr>
        <w:b/>
        <w:bCs/>
        <w:sz w:val="56"/>
        <w:szCs w:val="72"/>
      </w:rPr>
      <w:t>UM System Code Determination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670F"/>
    <w:multiLevelType w:val="hybridMultilevel"/>
    <w:tmpl w:val="05A4BB82"/>
    <w:lvl w:ilvl="0" w:tplc="EFD0BD64">
      <w:start w:val="1"/>
      <w:numFmt w:val="decimal"/>
      <w:lvlText w:val="%1."/>
      <w:lvlJc w:val="left"/>
      <w:pPr>
        <w:ind w:left="720" w:hanging="360"/>
      </w:pPr>
      <w:rPr>
        <w:rFonts w:ascii="Arial" w:eastAsia="Times New Roman"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5882C8D"/>
    <w:multiLevelType w:val="hybridMultilevel"/>
    <w:tmpl w:val="C7ACB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306760"/>
    <w:multiLevelType w:val="hybridMultilevel"/>
    <w:tmpl w:val="C2F23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F76254"/>
    <w:multiLevelType w:val="hybridMultilevel"/>
    <w:tmpl w:val="FC6AFD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7C"/>
    <w:rsid w:val="00004790"/>
    <w:rsid w:val="000865A3"/>
    <w:rsid w:val="000A080F"/>
    <w:rsid w:val="001310A8"/>
    <w:rsid w:val="00131EEF"/>
    <w:rsid w:val="00161BFD"/>
    <w:rsid w:val="00175392"/>
    <w:rsid w:val="00176FA9"/>
    <w:rsid w:val="00193BE0"/>
    <w:rsid w:val="001943C3"/>
    <w:rsid w:val="001D7C8A"/>
    <w:rsid w:val="0023727D"/>
    <w:rsid w:val="00262602"/>
    <w:rsid w:val="002937D1"/>
    <w:rsid w:val="003805FF"/>
    <w:rsid w:val="0038421C"/>
    <w:rsid w:val="003D3B64"/>
    <w:rsid w:val="00471932"/>
    <w:rsid w:val="004B4E22"/>
    <w:rsid w:val="005437F2"/>
    <w:rsid w:val="0055039C"/>
    <w:rsid w:val="0056303B"/>
    <w:rsid w:val="00575A90"/>
    <w:rsid w:val="005C1A0F"/>
    <w:rsid w:val="005D6765"/>
    <w:rsid w:val="00602770"/>
    <w:rsid w:val="00614C10"/>
    <w:rsid w:val="006308BB"/>
    <w:rsid w:val="006309F8"/>
    <w:rsid w:val="00657A0E"/>
    <w:rsid w:val="00671346"/>
    <w:rsid w:val="00691B4B"/>
    <w:rsid w:val="006D0B83"/>
    <w:rsid w:val="00717196"/>
    <w:rsid w:val="007C5B70"/>
    <w:rsid w:val="008963A9"/>
    <w:rsid w:val="008A7251"/>
    <w:rsid w:val="008E3955"/>
    <w:rsid w:val="009776CF"/>
    <w:rsid w:val="00977ABF"/>
    <w:rsid w:val="0099510A"/>
    <w:rsid w:val="009A2C83"/>
    <w:rsid w:val="009B269C"/>
    <w:rsid w:val="00A0742F"/>
    <w:rsid w:val="00A15BDC"/>
    <w:rsid w:val="00AA38BC"/>
    <w:rsid w:val="00B0514C"/>
    <w:rsid w:val="00B568FC"/>
    <w:rsid w:val="00B7354A"/>
    <w:rsid w:val="00BC4A7C"/>
    <w:rsid w:val="00BD62EF"/>
    <w:rsid w:val="00CD443E"/>
    <w:rsid w:val="00CF0975"/>
    <w:rsid w:val="00D62FE0"/>
    <w:rsid w:val="00D74137"/>
    <w:rsid w:val="00DB6422"/>
    <w:rsid w:val="00DC0906"/>
    <w:rsid w:val="00DC5848"/>
    <w:rsid w:val="00E35CC7"/>
    <w:rsid w:val="00EC3B0F"/>
    <w:rsid w:val="00F87F95"/>
    <w:rsid w:val="00F901CF"/>
    <w:rsid w:val="00FB75C6"/>
    <w:rsid w:val="00FC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3DF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727D"/>
    <w:pPr>
      <w:spacing w:line="360" w:lineRule="auto"/>
    </w:pPr>
  </w:style>
  <w:style w:type="paragraph" w:styleId="Heading1">
    <w:name w:val="heading 1"/>
    <w:basedOn w:val="Normal"/>
    <w:next w:val="Normal"/>
    <w:link w:val="Heading1Char"/>
    <w:uiPriority w:val="9"/>
    <w:qFormat/>
    <w:rsid w:val="0023727D"/>
    <w:pPr>
      <w:spacing w:after="240"/>
      <w:outlineLvl w:val="0"/>
    </w:pPr>
    <w:rPr>
      <w:b/>
    </w:rPr>
  </w:style>
  <w:style w:type="paragraph" w:styleId="Heading2">
    <w:name w:val="heading 2"/>
    <w:basedOn w:val="Normal"/>
    <w:next w:val="Normal"/>
    <w:link w:val="Heading2Char"/>
    <w:uiPriority w:val="9"/>
    <w:unhideWhenUsed/>
    <w:qFormat/>
    <w:rsid w:val="00237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A7C"/>
    <w:pPr>
      <w:tabs>
        <w:tab w:val="center" w:pos="4680"/>
        <w:tab w:val="right" w:pos="9360"/>
      </w:tabs>
    </w:pPr>
  </w:style>
  <w:style w:type="character" w:customStyle="1" w:styleId="HeaderChar">
    <w:name w:val="Header Char"/>
    <w:basedOn w:val="DefaultParagraphFont"/>
    <w:link w:val="Header"/>
    <w:uiPriority w:val="99"/>
    <w:rsid w:val="00BC4A7C"/>
  </w:style>
  <w:style w:type="paragraph" w:styleId="Footer">
    <w:name w:val="footer"/>
    <w:basedOn w:val="Normal"/>
    <w:link w:val="FooterChar"/>
    <w:uiPriority w:val="99"/>
    <w:unhideWhenUsed/>
    <w:rsid w:val="00BC4A7C"/>
    <w:pPr>
      <w:tabs>
        <w:tab w:val="center" w:pos="4680"/>
        <w:tab w:val="right" w:pos="9360"/>
      </w:tabs>
    </w:pPr>
  </w:style>
  <w:style w:type="character" w:customStyle="1" w:styleId="FooterChar">
    <w:name w:val="Footer Char"/>
    <w:basedOn w:val="DefaultParagraphFont"/>
    <w:link w:val="Footer"/>
    <w:uiPriority w:val="99"/>
    <w:rsid w:val="00BC4A7C"/>
  </w:style>
  <w:style w:type="paragraph" w:styleId="NormalWeb">
    <w:name w:val="Normal (Web)"/>
    <w:basedOn w:val="Normal"/>
    <w:uiPriority w:val="99"/>
    <w:semiHidden/>
    <w:unhideWhenUsed/>
    <w:rsid w:val="00AA38BC"/>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23727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3727D"/>
    <w:rPr>
      <w:b/>
    </w:rPr>
  </w:style>
  <w:style w:type="character" w:styleId="Strong">
    <w:name w:val="Strong"/>
    <w:basedOn w:val="DefaultParagraphFont"/>
    <w:uiPriority w:val="22"/>
    <w:qFormat/>
    <w:rsid w:val="0023727D"/>
    <w:rPr>
      <w:b/>
      <w:bCs/>
    </w:rPr>
  </w:style>
  <w:style w:type="paragraph" w:styleId="ListParagraph">
    <w:name w:val="List Paragraph"/>
    <w:basedOn w:val="Normal"/>
    <w:uiPriority w:val="34"/>
    <w:qFormat/>
    <w:rsid w:val="00E35CC7"/>
    <w:pPr>
      <w:ind w:left="720"/>
      <w:contextualSpacing/>
    </w:pPr>
  </w:style>
  <w:style w:type="character" w:styleId="CommentReference">
    <w:name w:val="annotation reference"/>
    <w:basedOn w:val="DefaultParagraphFont"/>
    <w:uiPriority w:val="99"/>
    <w:semiHidden/>
    <w:unhideWhenUsed/>
    <w:rsid w:val="002937D1"/>
    <w:rPr>
      <w:sz w:val="16"/>
      <w:szCs w:val="16"/>
    </w:rPr>
  </w:style>
  <w:style w:type="paragraph" w:styleId="CommentText">
    <w:name w:val="annotation text"/>
    <w:basedOn w:val="Normal"/>
    <w:link w:val="CommentTextChar"/>
    <w:uiPriority w:val="99"/>
    <w:semiHidden/>
    <w:unhideWhenUsed/>
    <w:rsid w:val="002937D1"/>
    <w:pPr>
      <w:spacing w:line="240" w:lineRule="auto"/>
    </w:pPr>
    <w:rPr>
      <w:sz w:val="20"/>
      <w:szCs w:val="20"/>
    </w:rPr>
  </w:style>
  <w:style w:type="character" w:customStyle="1" w:styleId="CommentTextChar">
    <w:name w:val="Comment Text Char"/>
    <w:basedOn w:val="DefaultParagraphFont"/>
    <w:link w:val="CommentText"/>
    <w:uiPriority w:val="99"/>
    <w:semiHidden/>
    <w:rsid w:val="002937D1"/>
    <w:rPr>
      <w:sz w:val="20"/>
      <w:szCs w:val="20"/>
    </w:rPr>
  </w:style>
  <w:style w:type="paragraph" w:styleId="CommentSubject">
    <w:name w:val="annotation subject"/>
    <w:basedOn w:val="CommentText"/>
    <w:next w:val="CommentText"/>
    <w:link w:val="CommentSubjectChar"/>
    <w:uiPriority w:val="99"/>
    <w:semiHidden/>
    <w:unhideWhenUsed/>
    <w:rsid w:val="002937D1"/>
    <w:rPr>
      <w:b/>
      <w:bCs/>
    </w:rPr>
  </w:style>
  <w:style w:type="character" w:customStyle="1" w:styleId="CommentSubjectChar">
    <w:name w:val="Comment Subject Char"/>
    <w:basedOn w:val="CommentTextChar"/>
    <w:link w:val="CommentSubject"/>
    <w:uiPriority w:val="99"/>
    <w:semiHidden/>
    <w:rsid w:val="002937D1"/>
    <w:rPr>
      <w:b/>
      <w:bCs/>
      <w:sz w:val="20"/>
      <w:szCs w:val="20"/>
    </w:rPr>
  </w:style>
  <w:style w:type="paragraph" w:styleId="BalloonText">
    <w:name w:val="Balloon Text"/>
    <w:basedOn w:val="Normal"/>
    <w:link w:val="BalloonTextChar"/>
    <w:uiPriority w:val="99"/>
    <w:semiHidden/>
    <w:unhideWhenUsed/>
    <w:rsid w:val="002937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2043">
      <w:bodyDiv w:val="1"/>
      <w:marLeft w:val="0"/>
      <w:marRight w:val="0"/>
      <w:marTop w:val="0"/>
      <w:marBottom w:val="0"/>
      <w:divBdr>
        <w:top w:val="none" w:sz="0" w:space="0" w:color="auto"/>
        <w:left w:val="none" w:sz="0" w:space="0" w:color="auto"/>
        <w:bottom w:val="none" w:sz="0" w:space="0" w:color="auto"/>
        <w:right w:val="none" w:sz="0" w:space="0" w:color="auto"/>
      </w:divBdr>
    </w:div>
    <w:div w:id="749498104">
      <w:bodyDiv w:val="1"/>
      <w:marLeft w:val="0"/>
      <w:marRight w:val="0"/>
      <w:marTop w:val="0"/>
      <w:marBottom w:val="0"/>
      <w:divBdr>
        <w:top w:val="none" w:sz="0" w:space="0" w:color="auto"/>
        <w:left w:val="none" w:sz="0" w:space="0" w:color="auto"/>
        <w:bottom w:val="none" w:sz="0" w:space="0" w:color="auto"/>
        <w:right w:val="none" w:sz="0" w:space="0" w:color="auto"/>
      </w:divBdr>
    </w:div>
    <w:div w:id="1231423642">
      <w:bodyDiv w:val="1"/>
      <w:marLeft w:val="0"/>
      <w:marRight w:val="0"/>
      <w:marTop w:val="0"/>
      <w:marBottom w:val="0"/>
      <w:divBdr>
        <w:top w:val="none" w:sz="0" w:space="0" w:color="auto"/>
        <w:left w:val="none" w:sz="0" w:space="0" w:color="auto"/>
        <w:bottom w:val="none" w:sz="0" w:space="0" w:color="auto"/>
        <w:right w:val="none" w:sz="0" w:space="0" w:color="auto"/>
      </w:divBdr>
    </w:div>
    <w:div w:id="1232807715">
      <w:bodyDiv w:val="1"/>
      <w:marLeft w:val="0"/>
      <w:marRight w:val="0"/>
      <w:marTop w:val="0"/>
      <w:marBottom w:val="0"/>
      <w:divBdr>
        <w:top w:val="none" w:sz="0" w:space="0" w:color="auto"/>
        <w:left w:val="none" w:sz="0" w:space="0" w:color="auto"/>
        <w:bottom w:val="none" w:sz="0" w:space="0" w:color="auto"/>
        <w:right w:val="none" w:sz="0" w:space="0" w:color="auto"/>
      </w:divBdr>
    </w:div>
    <w:div w:id="1587882313">
      <w:bodyDiv w:val="1"/>
      <w:marLeft w:val="0"/>
      <w:marRight w:val="0"/>
      <w:marTop w:val="0"/>
      <w:marBottom w:val="0"/>
      <w:divBdr>
        <w:top w:val="none" w:sz="0" w:space="0" w:color="auto"/>
        <w:left w:val="none" w:sz="0" w:space="0" w:color="auto"/>
        <w:bottom w:val="none" w:sz="0" w:space="0" w:color="auto"/>
        <w:right w:val="none" w:sz="0" w:space="0" w:color="auto"/>
      </w:divBdr>
    </w:div>
    <w:div w:id="20113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004E5-6786-4639-B534-D47819B29BDB}">
  <ds:schemaRefs>
    <ds:schemaRef ds:uri="http://schemas.openxmlformats.org/officeDocument/2006/bibliography"/>
  </ds:schemaRefs>
</ds:datastoreItem>
</file>

<file path=customXml/itemProps2.xml><?xml version="1.0" encoding="utf-8"?>
<ds:datastoreItem xmlns:ds="http://schemas.openxmlformats.org/officeDocument/2006/customXml" ds:itemID="{16EAAD15-34FF-4E9B-A612-D6BAC9A64119}"/>
</file>

<file path=customXml/itemProps3.xml><?xml version="1.0" encoding="utf-8"?>
<ds:datastoreItem xmlns:ds="http://schemas.openxmlformats.org/officeDocument/2006/customXml" ds:itemID="{74202C6F-85AC-4C95-AAFC-94EC2E43F2FB}"/>
</file>

<file path=customXml/itemProps4.xml><?xml version="1.0" encoding="utf-8"?>
<ds:datastoreItem xmlns:ds="http://schemas.openxmlformats.org/officeDocument/2006/customXml" ds:itemID="{70E5F35F-5598-4F76-80D7-E6CE9F809206}"/>
</file>

<file path=docProps/app.xml><?xml version="1.0" encoding="utf-8"?>
<Properties xmlns="http://schemas.openxmlformats.org/officeDocument/2006/extended-properties" xmlns:vt="http://schemas.openxmlformats.org/officeDocument/2006/docPropsVTypes">
  <Template>Normal.dotm</Template>
  <TotalTime>86</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Kmetz</dc:creator>
  <cp:keywords/>
  <dc:description/>
  <cp:lastModifiedBy>Haynes, Dennis J.</cp:lastModifiedBy>
  <cp:revision>10</cp:revision>
  <cp:lastPrinted>2017-12-04T16:12:00Z</cp:lastPrinted>
  <dcterms:created xsi:type="dcterms:W3CDTF">2020-06-04T18:38:00Z</dcterms:created>
  <dcterms:modified xsi:type="dcterms:W3CDTF">2020-06-09T21:33:00Z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